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0AEEA" w14:textId="0E45ABFD" w:rsidR="00355220" w:rsidRPr="00E11595" w:rsidRDefault="00355220">
      <w:pPr>
        <w:rPr>
          <w:lang w:val="en-US"/>
        </w:rPr>
      </w:pPr>
      <w:proofErr w:type="spellStart"/>
      <w:proofErr w:type="gramStart"/>
      <w:r w:rsidRPr="00E11595">
        <w:rPr>
          <w:lang w:val="en-US"/>
        </w:rPr>
        <w:t>Réf</w:t>
      </w:r>
      <w:proofErr w:type="spellEnd"/>
      <w:r w:rsidRPr="00E11595">
        <w:rPr>
          <w:lang w:val="en-US"/>
        </w:rPr>
        <w:t>.</w:t>
      </w:r>
      <w:proofErr w:type="gramEnd"/>
      <w:r w:rsidRPr="00E11595">
        <w:rPr>
          <w:lang w:val="en-US"/>
        </w:rPr>
        <w:t xml:space="preserve"> : </w:t>
      </w:r>
      <w:bookmarkStart w:id="0" w:name="Texte15"/>
      <w:r w:rsidR="00F81D01">
        <w:fldChar w:fldCharType="begin">
          <w:ffData>
            <w:name w:val="Texte15"/>
            <w:enabled/>
            <w:calcOnExit w:val="0"/>
            <w:textInput>
              <w:default w:val="DRP/DPSM/UTAM-Est/2014-1192/SV-RF"/>
            </w:textInput>
          </w:ffData>
        </w:fldChar>
      </w:r>
      <w:r w:rsidR="00F81D01">
        <w:instrText xml:space="preserve"> FORMTEXT </w:instrText>
      </w:r>
      <w:r w:rsidR="00F81D01">
        <w:fldChar w:fldCharType="separate"/>
      </w:r>
      <w:r w:rsidR="00F81D01">
        <w:rPr>
          <w:noProof/>
        </w:rPr>
        <w:t>DRP/DPSM/UTAM-Est/2014-1192/SV-RF</w:t>
      </w:r>
      <w:r w:rsidR="00F81D01">
        <w:fldChar w:fldCharType="end"/>
      </w:r>
      <w:bookmarkEnd w:id="0"/>
      <w:r w:rsidRPr="00E11595">
        <w:rPr>
          <w:lang w:val="en-US"/>
        </w:rPr>
        <w:tab/>
      </w:r>
      <w:proofErr w:type="spellStart"/>
      <w:r w:rsidR="00E11595">
        <w:rPr>
          <w:lang w:val="en-US"/>
        </w:rPr>
        <w:t>F</w:t>
      </w:r>
      <w:r w:rsidR="007E6F2B" w:rsidRPr="00E11595">
        <w:rPr>
          <w:lang w:val="en-US"/>
        </w:rPr>
        <w:t>reyming-Merlebach</w:t>
      </w:r>
      <w:proofErr w:type="spellEnd"/>
      <w:r w:rsidRPr="00E11595">
        <w:rPr>
          <w:lang w:val="en-US"/>
        </w:rPr>
        <w:t xml:space="preserve">, le </w:t>
      </w:r>
      <w:bookmarkStart w:id="1" w:name="Texte24"/>
      <w:bookmarkStart w:id="2" w:name="_GoBack"/>
      <w:r w:rsidR="00F81D01">
        <w:fldChar w:fldCharType="begin">
          <w:ffData>
            <w:name w:val="Texte24"/>
            <w:enabled/>
            <w:calcOnExit w:val="0"/>
            <w:textInput>
              <w:default w:val="23/12/2014"/>
            </w:textInput>
          </w:ffData>
        </w:fldChar>
      </w:r>
      <w:r w:rsidR="00F81D01">
        <w:instrText xml:space="preserve"> FORMTEXT </w:instrText>
      </w:r>
      <w:r w:rsidR="00F81D01">
        <w:fldChar w:fldCharType="separate"/>
      </w:r>
      <w:r w:rsidR="00F81D01">
        <w:rPr>
          <w:noProof/>
        </w:rPr>
        <w:t>23/12/2014</w:t>
      </w:r>
      <w:r w:rsidR="00F81D01">
        <w:fldChar w:fldCharType="end"/>
      </w:r>
      <w:bookmarkEnd w:id="1"/>
      <w:bookmarkEnd w:id="2"/>
    </w:p>
    <w:p w14:paraId="4243457D" w14:textId="77777777" w:rsidR="00355220" w:rsidRPr="00E11595" w:rsidRDefault="00355220">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2619"/>
      </w:tblGrid>
      <w:tr w:rsidR="00355220" w14:paraId="4F30D0C9" w14:textId="77777777">
        <w:tc>
          <w:tcPr>
            <w:tcW w:w="9210" w:type="dxa"/>
            <w:gridSpan w:val="2"/>
            <w:tcBorders>
              <w:top w:val="double" w:sz="4" w:space="0" w:color="auto"/>
              <w:left w:val="double" w:sz="4" w:space="0" w:color="auto"/>
              <w:bottom w:val="single" w:sz="6" w:space="0" w:color="auto"/>
              <w:right w:val="double" w:sz="4" w:space="0" w:color="auto"/>
            </w:tcBorders>
            <w:shd w:val="pct10" w:color="auto" w:fill="FFFFFF"/>
          </w:tcPr>
          <w:p w14:paraId="29CD9744" w14:textId="1B6FE188" w:rsidR="00355220" w:rsidRDefault="00EF5820" w:rsidP="00EF5820">
            <w:pPr>
              <w:pStyle w:val="Titre1"/>
            </w:pPr>
            <w:r>
              <w:t>LOCHWILLER – ANALYSE DES MESURES TOPOGRAPHIQUES</w:t>
            </w:r>
          </w:p>
        </w:tc>
      </w:tr>
      <w:tr w:rsidR="00355220" w14:paraId="4434D24C" w14:textId="77777777">
        <w:trPr>
          <w:cantSplit/>
        </w:trPr>
        <w:tc>
          <w:tcPr>
            <w:tcW w:w="9210" w:type="dxa"/>
            <w:gridSpan w:val="2"/>
            <w:tcBorders>
              <w:top w:val="single" w:sz="6" w:space="0" w:color="auto"/>
              <w:left w:val="double" w:sz="4" w:space="0" w:color="auto"/>
              <w:bottom w:val="single" w:sz="6" w:space="0" w:color="auto"/>
              <w:right w:val="double" w:sz="4" w:space="0" w:color="auto"/>
            </w:tcBorders>
            <w:shd w:val="pct10" w:color="auto" w:fill="FFFFFF"/>
          </w:tcPr>
          <w:p w14:paraId="1EC69AFE" w14:textId="1B78CD80" w:rsidR="00355220" w:rsidRDefault="00355220" w:rsidP="00A93EF2">
            <w:pPr>
              <w:pStyle w:val="En-tte"/>
              <w:tabs>
                <w:tab w:val="clear" w:pos="4536"/>
                <w:tab w:val="clear" w:pos="9072"/>
              </w:tabs>
              <w:spacing w:before="120" w:after="120"/>
            </w:pPr>
            <w:r>
              <w:t xml:space="preserve">Rédacteur : </w:t>
            </w:r>
            <w:r w:rsidR="00A93EF2">
              <w:fldChar w:fldCharType="begin">
                <w:ffData>
                  <w:name w:val=""/>
                  <w:enabled/>
                  <w:calcOnExit w:val="0"/>
                  <w:textInput>
                    <w:default w:val="S. VICENTIN / R. FISCHER"/>
                  </w:textInput>
                </w:ffData>
              </w:fldChar>
            </w:r>
            <w:r w:rsidR="00A93EF2">
              <w:instrText xml:space="preserve"> FORMTEXT </w:instrText>
            </w:r>
            <w:r w:rsidR="00A93EF2">
              <w:fldChar w:fldCharType="separate"/>
            </w:r>
            <w:r w:rsidR="00A93EF2">
              <w:rPr>
                <w:noProof/>
              </w:rPr>
              <w:t>S. VICENTIN / R. FISCHER</w:t>
            </w:r>
            <w:r w:rsidR="00A93EF2">
              <w:fldChar w:fldCharType="end"/>
            </w:r>
            <w:r>
              <w:tab/>
            </w:r>
            <w:r>
              <w:tab/>
            </w:r>
            <w:r>
              <w:tab/>
              <w:t xml:space="preserve">Entité : </w:t>
            </w:r>
            <w:r w:rsidR="00427EDB">
              <w:fldChar w:fldCharType="begin">
                <w:ffData>
                  <w:name w:val=""/>
                  <w:enabled/>
                  <w:calcOnExit w:val="0"/>
                  <w:textInput>
                    <w:default w:val="DRP/DPSM/UTAM EST"/>
                  </w:textInput>
                </w:ffData>
              </w:fldChar>
            </w:r>
            <w:r w:rsidR="00427EDB">
              <w:instrText xml:space="preserve"> FORMTEXT </w:instrText>
            </w:r>
            <w:r w:rsidR="00427EDB">
              <w:fldChar w:fldCharType="separate"/>
            </w:r>
            <w:r w:rsidR="00427EDB">
              <w:rPr>
                <w:noProof/>
              </w:rPr>
              <w:t>DRP/DPSM/UTAM EST</w:t>
            </w:r>
            <w:r w:rsidR="00427EDB">
              <w:fldChar w:fldCharType="end"/>
            </w:r>
          </w:p>
        </w:tc>
      </w:tr>
      <w:tr w:rsidR="00355220" w14:paraId="4346C2EB" w14:textId="77777777">
        <w:tc>
          <w:tcPr>
            <w:tcW w:w="6591" w:type="dxa"/>
            <w:tcBorders>
              <w:top w:val="single" w:sz="6" w:space="0" w:color="auto"/>
              <w:left w:val="double" w:sz="4" w:space="0" w:color="auto"/>
              <w:bottom w:val="single" w:sz="6" w:space="0" w:color="auto"/>
              <w:right w:val="single" w:sz="6" w:space="0" w:color="auto"/>
            </w:tcBorders>
            <w:shd w:val="pct10" w:color="auto" w:fill="FFFFFF"/>
          </w:tcPr>
          <w:p w14:paraId="79DD7808" w14:textId="2B165BD2" w:rsidR="00355220" w:rsidRDefault="00355220" w:rsidP="00E11595">
            <w:pPr>
              <w:spacing w:before="120" w:after="120"/>
            </w:pPr>
            <w:r>
              <w:t xml:space="preserve">Projet : </w:t>
            </w:r>
            <w:bookmarkStart w:id="3" w:name="Texte16"/>
            <w:r w:rsidR="00E11595">
              <w:fldChar w:fldCharType="begin">
                <w:ffData>
                  <w:name w:val="Texte16"/>
                  <w:enabled/>
                  <w:calcOnExit w:val="0"/>
                  <w:textInput>
                    <w:default w:val="Lochwiller - Mesures topographiques - PAM14EST44"/>
                  </w:textInput>
                </w:ffData>
              </w:fldChar>
            </w:r>
            <w:r w:rsidR="00E11595">
              <w:instrText xml:space="preserve"> FORMTEXT </w:instrText>
            </w:r>
            <w:r w:rsidR="00E11595">
              <w:fldChar w:fldCharType="separate"/>
            </w:r>
            <w:r w:rsidR="00E11595">
              <w:rPr>
                <w:noProof/>
              </w:rPr>
              <w:t>Lochwiller - Mesures topographiques - PAM14EST44</w:t>
            </w:r>
            <w:r w:rsidR="00E11595">
              <w:fldChar w:fldCharType="end"/>
            </w:r>
            <w:bookmarkEnd w:id="3"/>
          </w:p>
        </w:tc>
        <w:tc>
          <w:tcPr>
            <w:tcW w:w="2619" w:type="dxa"/>
            <w:tcBorders>
              <w:top w:val="single" w:sz="6" w:space="0" w:color="auto"/>
              <w:left w:val="single" w:sz="6" w:space="0" w:color="auto"/>
              <w:bottom w:val="single" w:sz="6" w:space="0" w:color="auto"/>
              <w:right w:val="double" w:sz="4" w:space="0" w:color="auto"/>
            </w:tcBorders>
            <w:shd w:val="pct10" w:color="auto" w:fill="FFFFFF"/>
          </w:tcPr>
          <w:p w14:paraId="4052CB1C" w14:textId="28AF8382" w:rsidR="00355220" w:rsidRDefault="00355220" w:rsidP="00E11595">
            <w:pPr>
              <w:pStyle w:val="En-tte"/>
              <w:tabs>
                <w:tab w:val="clear" w:pos="4536"/>
                <w:tab w:val="clear" w:pos="9072"/>
              </w:tabs>
              <w:spacing w:before="120" w:after="120"/>
            </w:pPr>
            <w:r>
              <w:t xml:space="preserve">Numéro : </w:t>
            </w:r>
            <w:bookmarkStart w:id="4" w:name="Texte17"/>
            <w:r w:rsidR="00E11595">
              <w:fldChar w:fldCharType="begin">
                <w:ffData>
                  <w:name w:val="Texte17"/>
                  <w:enabled/>
                  <w:calcOnExit w:val="0"/>
                  <w:textInput>
                    <w:default w:val="I04030801"/>
                  </w:textInput>
                </w:ffData>
              </w:fldChar>
            </w:r>
            <w:r w:rsidR="00E11595">
              <w:instrText xml:space="preserve"> FORMTEXT </w:instrText>
            </w:r>
            <w:r w:rsidR="00E11595">
              <w:fldChar w:fldCharType="separate"/>
            </w:r>
            <w:r w:rsidR="00E11595">
              <w:rPr>
                <w:noProof/>
              </w:rPr>
              <w:t>I04030801</w:t>
            </w:r>
            <w:r w:rsidR="00E11595">
              <w:fldChar w:fldCharType="end"/>
            </w:r>
            <w:bookmarkEnd w:id="4"/>
          </w:p>
        </w:tc>
      </w:tr>
      <w:tr w:rsidR="00355220" w14:paraId="6CD37D09" w14:textId="77777777">
        <w:tc>
          <w:tcPr>
            <w:tcW w:w="9210" w:type="dxa"/>
            <w:gridSpan w:val="2"/>
            <w:tcBorders>
              <w:top w:val="single" w:sz="6" w:space="0" w:color="auto"/>
              <w:left w:val="double" w:sz="4" w:space="0" w:color="auto"/>
              <w:bottom w:val="single" w:sz="6" w:space="0" w:color="auto"/>
              <w:right w:val="double" w:sz="4" w:space="0" w:color="auto"/>
            </w:tcBorders>
            <w:shd w:val="pct10" w:color="auto" w:fill="FFFFFF"/>
          </w:tcPr>
          <w:p w14:paraId="0CB091BB" w14:textId="2FE7ECC6" w:rsidR="00355220" w:rsidRDefault="00355220" w:rsidP="00AA23F8">
            <w:pPr>
              <w:spacing w:before="120" w:after="120"/>
            </w:pPr>
            <w:r>
              <w:t>Objet :</w:t>
            </w:r>
            <w:r>
              <w:rPr>
                <w:b/>
              </w:rPr>
              <w:t xml:space="preserve"> </w:t>
            </w:r>
            <w:bookmarkStart w:id="5" w:name="Texte18"/>
            <w:r w:rsidR="00AA23F8">
              <w:rPr>
                <w:b/>
              </w:rPr>
              <w:fldChar w:fldCharType="begin">
                <w:ffData>
                  <w:name w:val="Texte18"/>
                  <w:enabled/>
                  <w:calcOnExit w:val="0"/>
                  <w:textInput>
                    <w:default w:val="Résultats de la campagne de mesure du 24/11/2014"/>
                  </w:textInput>
                </w:ffData>
              </w:fldChar>
            </w:r>
            <w:r w:rsidR="00AA23F8">
              <w:rPr>
                <w:b/>
              </w:rPr>
              <w:instrText xml:space="preserve"> FORMTEXT </w:instrText>
            </w:r>
            <w:r w:rsidR="00AA23F8">
              <w:rPr>
                <w:b/>
              </w:rPr>
            </w:r>
            <w:r w:rsidR="00AA23F8">
              <w:rPr>
                <w:b/>
              </w:rPr>
              <w:fldChar w:fldCharType="separate"/>
            </w:r>
            <w:r w:rsidR="00AA23F8">
              <w:rPr>
                <w:b/>
                <w:noProof/>
              </w:rPr>
              <w:t>Résultats de la campagne de mesure du 24/11/2014</w:t>
            </w:r>
            <w:r w:rsidR="00AA23F8">
              <w:rPr>
                <w:b/>
              </w:rPr>
              <w:fldChar w:fldCharType="end"/>
            </w:r>
            <w:bookmarkEnd w:id="5"/>
            <w:r>
              <w:rPr>
                <w:b/>
              </w:rPr>
              <w:tab/>
            </w:r>
          </w:p>
        </w:tc>
      </w:tr>
      <w:tr w:rsidR="00355220" w14:paraId="15CD78C8" w14:textId="77777777">
        <w:tc>
          <w:tcPr>
            <w:tcW w:w="9210" w:type="dxa"/>
            <w:gridSpan w:val="2"/>
            <w:tcBorders>
              <w:top w:val="single" w:sz="6" w:space="0" w:color="auto"/>
              <w:left w:val="double" w:sz="4" w:space="0" w:color="auto"/>
              <w:bottom w:val="double" w:sz="4" w:space="0" w:color="auto"/>
              <w:right w:val="double" w:sz="4" w:space="0" w:color="auto"/>
            </w:tcBorders>
          </w:tcPr>
          <w:p w14:paraId="4578F6C2" w14:textId="1BD3B860" w:rsidR="00355220" w:rsidRDefault="00355220">
            <w:pPr>
              <w:tabs>
                <w:tab w:val="left" w:pos="1418"/>
              </w:tabs>
              <w:ind w:left="1418" w:hanging="1418"/>
            </w:pPr>
            <w:r>
              <w:t>Diffusion</w:t>
            </w:r>
            <w:r w:rsidR="00C12D4F">
              <w:t xml:space="preserve"> interne</w:t>
            </w:r>
            <w:r>
              <w:t> : </w:t>
            </w:r>
            <w:r>
              <w:tab/>
            </w:r>
            <w:bookmarkStart w:id="6" w:name="Texte23"/>
            <w:r w:rsidR="003B2194">
              <w:fldChar w:fldCharType="begin">
                <w:ffData>
                  <w:name w:val="Texte23"/>
                  <w:enabled/>
                  <w:calcOnExit w:val="0"/>
                  <w:textInput>
                    <w:default w:val="R. COSQUER, N. KOEBERLE, L. SEMMELBECK"/>
                  </w:textInput>
                </w:ffData>
              </w:fldChar>
            </w:r>
            <w:r w:rsidR="003B2194">
              <w:instrText xml:space="preserve"> FORMTEXT </w:instrText>
            </w:r>
            <w:r w:rsidR="003B2194">
              <w:fldChar w:fldCharType="separate"/>
            </w:r>
            <w:r w:rsidR="003B2194">
              <w:rPr>
                <w:noProof/>
              </w:rPr>
              <w:t>R. COSQUER, N. KOEBERLE, L. SEMMELBECK</w:t>
            </w:r>
            <w:r w:rsidR="003B2194">
              <w:fldChar w:fldCharType="end"/>
            </w:r>
            <w:bookmarkEnd w:id="6"/>
          </w:p>
          <w:p w14:paraId="65E4C1A4" w14:textId="77777777" w:rsidR="00C12D4F" w:rsidRDefault="00C12D4F">
            <w:pPr>
              <w:tabs>
                <w:tab w:val="left" w:pos="1418"/>
              </w:tabs>
              <w:ind w:left="1418" w:hanging="1418"/>
            </w:pPr>
          </w:p>
          <w:p w14:paraId="67A068F8" w14:textId="208A5145" w:rsidR="00C12D4F" w:rsidRDefault="00C12D4F">
            <w:pPr>
              <w:tabs>
                <w:tab w:val="left" w:pos="1418"/>
              </w:tabs>
              <w:ind w:left="1418" w:hanging="1418"/>
            </w:pPr>
            <w:r>
              <w:t>Diffusion externe :</w:t>
            </w:r>
            <w:r w:rsidR="003B2194">
              <w:t xml:space="preserve"> DREAL Alsace : G. WOLF, P. LIAUTARD</w:t>
            </w:r>
          </w:p>
          <w:p w14:paraId="146B73A2" w14:textId="186371DA" w:rsidR="00C12D4F" w:rsidRDefault="00C12D4F">
            <w:pPr>
              <w:tabs>
                <w:tab w:val="left" w:pos="1418"/>
              </w:tabs>
              <w:ind w:left="1418" w:hanging="1418"/>
            </w:pPr>
            <w:r>
              <w:t xml:space="preserve">En cas de diffusion externe visa et nom du responsable : </w:t>
            </w:r>
            <w:r w:rsidR="003B2194">
              <w:t>N. KOEBERLE</w:t>
            </w:r>
          </w:p>
          <w:p w14:paraId="4C9F4957" w14:textId="77777777" w:rsidR="00355220" w:rsidRDefault="00355220">
            <w:pPr>
              <w:pStyle w:val="Pieddepage"/>
              <w:tabs>
                <w:tab w:val="clear" w:pos="4536"/>
                <w:tab w:val="clear" w:pos="9072"/>
              </w:tabs>
              <w:ind w:left="1418"/>
            </w:pPr>
          </w:p>
        </w:tc>
      </w:tr>
    </w:tbl>
    <w:p w14:paraId="069F52E6" w14:textId="77777777" w:rsidR="00355220" w:rsidRDefault="00355220"/>
    <w:p w14:paraId="58A420CC" w14:textId="01036D38" w:rsidR="00427EDB" w:rsidRPr="00427EDB" w:rsidRDefault="00427EDB" w:rsidP="00427EDB">
      <w:pPr>
        <w:pStyle w:val="Paragraphedeliste"/>
        <w:numPr>
          <w:ilvl w:val="0"/>
          <w:numId w:val="8"/>
        </w:numPr>
        <w:rPr>
          <w:b/>
          <w:u w:val="single"/>
        </w:rPr>
      </w:pPr>
      <w:r w:rsidRPr="00427EDB">
        <w:rPr>
          <w:b/>
          <w:u w:val="single"/>
        </w:rPr>
        <w:t>Contexte général</w:t>
      </w:r>
    </w:p>
    <w:p w14:paraId="2B8B21D4" w14:textId="77777777" w:rsidR="00427EDB" w:rsidRDefault="00427EDB"/>
    <w:p w14:paraId="5F6358CF" w14:textId="155AAF27" w:rsidR="00427EDB" w:rsidRDefault="00427EDB" w:rsidP="00427EDB">
      <w:pPr>
        <w:jc w:val="both"/>
      </w:pPr>
      <w:r>
        <w:t>La commune de Lochwiller (67) fait l’objet de mesure</w:t>
      </w:r>
      <w:r w:rsidR="007E6F2B">
        <w:t>s</w:t>
      </w:r>
      <w:r>
        <w:t xml:space="preserve"> topographique</w:t>
      </w:r>
      <w:r w:rsidR="007E6F2B">
        <w:t>s</w:t>
      </w:r>
      <w:r>
        <w:t xml:space="preserve"> (nivellement et translation) suite à des désordres observés sur les façades des maisons ainsi que sur la chaussée au niveau du lotissement Weingarten. Cinq campagnes ont été réalisées en 2013 dans le cadre de l’expertise judiciaire (premier levé référentiel : </w:t>
      </w:r>
      <w:r w:rsidRPr="00A94462">
        <w:rPr>
          <w:b/>
        </w:rPr>
        <w:t>le 7 mars 2013</w:t>
      </w:r>
      <w:r>
        <w:t xml:space="preserve">). </w:t>
      </w:r>
    </w:p>
    <w:p w14:paraId="552963C2" w14:textId="67E0AFC2" w:rsidR="00963C9F" w:rsidRDefault="00427EDB" w:rsidP="00427EDB">
      <w:pPr>
        <w:jc w:val="both"/>
      </w:pPr>
      <w:r>
        <w:t xml:space="preserve">Par la saisine DREAL </w:t>
      </w:r>
      <w:r w:rsidRPr="00A94462">
        <w:rPr>
          <w:u w:val="single"/>
        </w:rPr>
        <w:t>n° 2014-03-04 Lochwiller</w:t>
      </w:r>
      <w:r>
        <w:t>, le BRGM/DRP/DPSM/UTAM EST s’est vu confi</w:t>
      </w:r>
      <w:r w:rsidR="009C3153">
        <w:t>er</w:t>
      </w:r>
      <w:r>
        <w:t xml:space="preserve"> la poursuite des mesures avec une extension du réseau existant. A ce jour, le réseau est constitué de </w:t>
      </w:r>
      <w:r w:rsidRPr="00A94462">
        <w:rPr>
          <w:u w:val="single"/>
        </w:rPr>
        <w:t>4</w:t>
      </w:r>
      <w:r w:rsidR="000C4F0C">
        <w:rPr>
          <w:u w:val="single"/>
        </w:rPr>
        <w:t>4</w:t>
      </w:r>
      <w:r w:rsidRPr="00A94462">
        <w:rPr>
          <w:u w:val="single"/>
        </w:rPr>
        <w:t xml:space="preserve"> repères</w:t>
      </w:r>
      <w:r>
        <w:t>, 19 anciens points issus de la procédure judiciaire et 2</w:t>
      </w:r>
      <w:r w:rsidR="000C4F0C">
        <w:t>5</w:t>
      </w:r>
      <w:r>
        <w:t xml:space="preserve"> nouveaux points. </w:t>
      </w:r>
      <w:r w:rsidR="00963C9F">
        <w:t>Le repère R1014 a été supprimé car il était en doublon du point R1013 distant d’un mètre.</w:t>
      </w:r>
    </w:p>
    <w:p w14:paraId="0152E953" w14:textId="182A2FD2" w:rsidR="00427EDB" w:rsidRDefault="00427EDB" w:rsidP="00427EDB">
      <w:pPr>
        <w:jc w:val="both"/>
      </w:pPr>
      <w:r>
        <w:t xml:space="preserve">La </w:t>
      </w:r>
      <w:r w:rsidRPr="00A94462">
        <w:rPr>
          <w:u w:val="single"/>
        </w:rPr>
        <w:t>fréquence des levés est bimestrielle</w:t>
      </w:r>
      <w:r>
        <w:t xml:space="preserve">. Le levé de référence pour ce nouveau réseau étendu date du </w:t>
      </w:r>
      <w:r w:rsidRPr="00A94462">
        <w:rPr>
          <w:b/>
        </w:rPr>
        <w:t>17 avril 2014</w:t>
      </w:r>
      <w:r>
        <w:t xml:space="preserve">. </w:t>
      </w:r>
      <w:r w:rsidR="000C4F0C">
        <w:t>Trois</w:t>
      </w:r>
      <w:r>
        <w:t xml:space="preserve"> autres campagnes se sont déroulées le 26 mai</w:t>
      </w:r>
      <w:r w:rsidR="009C3153">
        <w:t xml:space="preserve"> 2014</w:t>
      </w:r>
      <w:r w:rsidR="00963C9F">
        <w:t>,</w:t>
      </w:r>
      <w:r>
        <w:t xml:space="preserve"> le 24 juillet 2014</w:t>
      </w:r>
      <w:r w:rsidR="000C4F0C">
        <w:t xml:space="preserve"> et le 24 septembre</w:t>
      </w:r>
      <w:r w:rsidR="009C3153">
        <w:t xml:space="preserve"> 2014</w:t>
      </w:r>
      <w:r>
        <w:t>.</w:t>
      </w:r>
    </w:p>
    <w:p w14:paraId="4E564CF4" w14:textId="77777777" w:rsidR="00427EDB" w:rsidRDefault="00427EDB"/>
    <w:p w14:paraId="518ECA8E" w14:textId="5E36377D" w:rsidR="00427EDB" w:rsidRDefault="00427EDB" w:rsidP="00427EDB">
      <w:pPr>
        <w:pStyle w:val="Paragraphedeliste"/>
        <w:numPr>
          <w:ilvl w:val="0"/>
          <w:numId w:val="8"/>
        </w:numPr>
        <w:rPr>
          <w:b/>
          <w:u w:val="single"/>
        </w:rPr>
      </w:pPr>
      <w:r w:rsidRPr="00427EDB">
        <w:rPr>
          <w:b/>
          <w:u w:val="single"/>
        </w:rPr>
        <w:t>Campagne du 2</w:t>
      </w:r>
      <w:r w:rsidR="00D16A12">
        <w:rPr>
          <w:b/>
          <w:u w:val="single"/>
        </w:rPr>
        <w:t>7</w:t>
      </w:r>
      <w:r w:rsidRPr="00427EDB">
        <w:rPr>
          <w:b/>
          <w:u w:val="single"/>
        </w:rPr>
        <w:t xml:space="preserve"> </w:t>
      </w:r>
      <w:r w:rsidR="00D16A12">
        <w:rPr>
          <w:b/>
          <w:u w:val="single"/>
        </w:rPr>
        <w:t>nov</w:t>
      </w:r>
      <w:r w:rsidRPr="00427EDB">
        <w:rPr>
          <w:b/>
          <w:u w:val="single"/>
        </w:rPr>
        <w:t>embre 2014 : Résultats et commentaires</w:t>
      </w:r>
    </w:p>
    <w:p w14:paraId="60FB9E2F" w14:textId="77777777" w:rsidR="00D16A12" w:rsidRDefault="00D16A12" w:rsidP="00D16A12">
      <w:pPr>
        <w:pStyle w:val="Paragraphedeliste"/>
        <w:rPr>
          <w:b/>
          <w:u w:val="single"/>
        </w:rPr>
      </w:pPr>
    </w:p>
    <w:p w14:paraId="2FF060DE" w14:textId="25793F4B" w:rsidR="00D16A12" w:rsidRPr="00FB7D9A" w:rsidRDefault="00FB7D9A" w:rsidP="00963C9F">
      <w:pPr>
        <w:pStyle w:val="Paragraphedeliste"/>
        <w:ind w:left="0"/>
        <w:jc w:val="both"/>
      </w:pPr>
      <w:r w:rsidRPr="00FB7D9A">
        <w:t>Sur les 4</w:t>
      </w:r>
      <w:r w:rsidR="000C4F0C">
        <w:t>4</w:t>
      </w:r>
      <w:r w:rsidRPr="00FB7D9A">
        <w:t xml:space="preserve"> repères qui composent le réseau, 4</w:t>
      </w:r>
      <w:r w:rsidR="000C4F0C">
        <w:t>2</w:t>
      </w:r>
      <w:r w:rsidRPr="00FB7D9A">
        <w:t xml:space="preserve"> ont été mesurés</w:t>
      </w:r>
      <w:r>
        <w:t xml:space="preserve">. </w:t>
      </w:r>
      <w:r w:rsidR="000C4F0C">
        <w:t>Le point R1025</w:t>
      </w:r>
      <w:r w:rsidR="006075CF">
        <w:t xml:space="preserve"> inaccessible (véhicule garé sur le point) et le point R 1033</w:t>
      </w:r>
      <w:r w:rsidR="00963C9F">
        <w:t xml:space="preserve"> non trouvé (passage d’engins agricoles, route recouverte de boue) n’ont pu être mesurés</w:t>
      </w:r>
      <w:r w:rsidR="009C3153">
        <w:t>.</w:t>
      </w:r>
    </w:p>
    <w:p w14:paraId="55FF68A8" w14:textId="77777777" w:rsidR="00427EDB" w:rsidRDefault="00427EDB" w:rsidP="00427EDB">
      <w:pPr>
        <w:jc w:val="both"/>
        <w:rPr>
          <w:u w:val="single"/>
        </w:rPr>
      </w:pPr>
    </w:p>
    <w:p w14:paraId="1BCCEAEF" w14:textId="2BB7DDAA" w:rsidR="00427EDB" w:rsidRPr="00427EDB" w:rsidRDefault="00427EDB" w:rsidP="00427EDB">
      <w:pPr>
        <w:pStyle w:val="Paragraphedeliste"/>
        <w:numPr>
          <w:ilvl w:val="1"/>
          <w:numId w:val="9"/>
        </w:numPr>
        <w:jc w:val="both"/>
        <w:rPr>
          <w:u w:val="single"/>
        </w:rPr>
      </w:pPr>
      <w:r w:rsidRPr="00427EDB">
        <w:rPr>
          <w:u w:val="single"/>
        </w:rPr>
        <w:t>Mouvements verticaux (DZ)</w:t>
      </w:r>
    </w:p>
    <w:p w14:paraId="1F5DA1BA" w14:textId="77777777" w:rsidR="00427EDB" w:rsidRDefault="00427EDB" w:rsidP="00427EDB">
      <w:pPr>
        <w:jc w:val="both"/>
      </w:pPr>
    </w:p>
    <w:p w14:paraId="66121A4F" w14:textId="31C3834A" w:rsidR="00427EDB" w:rsidRDefault="00427EDB" w:rsidP="006075CF">
      <w:pPr>
        <w:jc w:val="both"/>
      </w:pPr>
      <w:r>
        <w:t>Les graphes ci-</w:t>
      </w:r>
      <w:r w:rsidR="007E6F2B">
        <w:t>après</w:t>
      </w:r>
      <w:r>
        <w:t xml:space="preserve"> illustrent l’évolution des mouvements verticaux au niveau du lotissement. </w:t>
      </w:r>
      <w:r>
        <w:rPr>
          <w:b/>
          <w:bCs/>
        </w:rPr>
        <w:t>On constate que le phénomène de surrection se poursuit</w:t>
      </w:r>
      <w:r>
        <w:t>. Le tableau ci-dessous indique les repères présentant les mouvements les plus significatifs par rapport aux deux dates de référence ainsi que la tendance vis-à-vis de la campagne précédente (24/07/14):</w:t>
      </w:r>
    </w:p>
    <w:p w14:paraId="5F883C50" w14:textId="77777777" w:rsidR="00427EDB" w:rsidRDefault="00427EDB" w:rsidP="00427EDB">
      <w:pPr>
        <w:jc w:val="both"/>
      </w:pPr>
    </w:p>
    <w:tbl>
      <w:tblPr>
        <w:tblStyle w:val="Grilledutableau"/>
        <w:tblW w:w="0" w:type="auto"/>
        <w:tblLayout w:type="fixed"/>
        <w:tblLook w:val="04A0" w:firstRow="1" w:lastRow="0" w:firstColumn="1" w:lastColumn="0" w:noHBand="0" w:noVBand="1"/>
      </w:tblPr>
      <w:tblGrid>
        <w:gridCol w:w="1418"/>
        <w:gridCol w:w="2552"/>
        <w:gridCol w:w="2552"/>
        <w:gridCol w:w="2552"/>
      </w:tblGrid>
      <w:tr w:rsidR="00427EDB" w14:paraId="57E807DE" w14:textId="77777777" w:rsidTr="00427EDB">
        <w:tc>
          <w:tcPr>
            <w:tcW w:w="1418" w:type="dxa"/>
          </w:tcPr>
          <w:p w14:paraId="087EAD52" w14:textId="77777777" w:rsidR="00427EDB" w:rsidRDefault="00427EDB" w:rsidP="00427EDB">
            <w:pPr>
              <w:jc w:val="center"/>
            </w:pPr>
          </w:p>
        </w:tc>
        <w:tc>
          <w:tcPr>
            <w:tcW w:w="2552" w:type="dxa"/>
          </w:tcPr>
          <w:p w14:paraId="7ECBD79C" w14:textId="77777777" w:rsidR="00427EDB" w:rsidRDefault="00427EDB" w:rsidP="00427EDB">
            <w:pPr>
              <w:jc w:val="center"/>
            </w:pPr>
            <w:r w:rsidRPr="00DB02C4">
              <w:t xml:space="preserve">Cumulé </w:t>
            </w:r>
          </w:p>
          <w:p w14:paraId="6D1B7E0B" w14:textId="77777777" w:rsidR="00427EDB" w:rsidRPr="00DB02C4" w:rsidRDefault="00427EDB" w:rsidP="00427EDB">
            <w:pPr>
              <w:jc w:val="center"/>
            </w:pPr>
            <w:r>
              <w:t>(référence au</w:t>
            </w:r>
            <w:r w:rsidRPr="00DB02C4">
              <w:t xml:space="preserve"> 03/03/13</w:t>
            </w:r>
            <w:r>
              <w:t>)</w:t>
            </w:r>
          </w:p>
        </w:tc>
        <w:tc>
          <w:tcPr>
            <w:tcW w:w="2552" w:type="dxa"/>
          </w:tcPr>
          <w:p w14:paraId="52BF6E4C" w14:textId="77777777" w:rsidR="00427EDB" w:rsidRDefault="00427EDB" w:rsidP="00427EDB">
            <w:pPr>
              <w:jc w:val="center"/>
            </w:pPr>
            <w:r w:rsidRPr="00DB02C4">
              <w:t xml:space="preserve">Cumulé </w:t>
            </w:r>
          </w:p>
          <w:p w14:paraId="14F72EA8" w14:textId="77777777" w:rsidR="00427EDB" w:rsidRPr="00DB02C4" w:rsidRDefault="00427EDB" w:rsidP="00427EDB">
            <w:pPr>
              <w:jc w:val="center"/>
            </w:pPr>
            <w:r>
              <w:t xml:space="preserve">(référence </w:t>
            </w:r>
            <w:r w:rsidRPr="00DB02C4">
              <w:t>au 17/04/14</w:t>
            </w:r>
            <w:r>
              <w:t>)</w:t>
            </w:r>
          </w:p>
        </w:tc>
        <w:tc>
          <w:tcPr>
            <w:tcW w:w="2552" w:type="dxa"/>
          </w:tcPr>
          <w:p w14:paraId="69C59CB9" w14:textId="77777777" w:rsidR="00427EDB" w:rsidRDefault="00427EDB" w:rsidP="00427EDB">
            <w:pPr>
              <w:jc w:val="center"/>
            </w:pPr>
            <w:r>
              <w:t>Tendance</w:t>
            </w:r>
          </w:p>
          <w:p w14:paraId="5D1A602A" w14:textId="77777777" w:rsidR="00427EDB" w:rsidRDefault="00427EDB" w:rsidP="00427EDB">
            <w:pPr>
              <w:jc w:val="center"/>
            </w:pPr>
            <w:r>
              <w:t>(référence au 24/07/14)</w:t>
            </w:r>
          </w:p>
        </w:tc>
      </w:tr>
      <w:tr w:rsidR="00427EDB" w14:paraId="69ACB4AF" w14:textId="77777777" w:rsidTr="00427EDB">
        <w:tc>
          <w:tcPr>
            <w:tcW w:w="1418" w:type="dxa"/>
          </w:tcPr>
          <w:p w14:paraId="7B82BCF7" w14:textId="77777777" w:rsidR="00427EDB" w:rsidRDefault="00427EDB" w:rsidP="00427EDB">
            <w:pPr>
              <w:jc w:val="center"/>
            </w:pPr>
            <w:r>
              <w:t>R 1021</w:t>
            </w:r>
          </w:p>
        </w:tc>
        <w:tc>
          <w:tcPr>
            <w:tcW w:w="2552" w:type="dxa"/>
          </w:tcPr>
          <w:p w14:paraId="61985075" w14:textId="276412BC" w:rsidR="00427EDB" w:rsidRDefault="000F2FC7" w:rsidP="00427EDB">
            <w:pPr>
              <w:jc w:val="center"/>
            </w:pPr>
            <w:r>
              <w:t>41</w:t>
            </w:r>
            <w:r w:rsidR="00427EDB">
              <w:t>cm</w:t>
            </w:r>
          </w:p>
        </w:tc>
        <w:tc>
          <w:tcPr>
            <w:tcW w:w="2552" w:type="dxa"/>
          </w:tcPr>
          <w:p w14:paraId="2B537498" w14:textId="23CC604D" w:rsidR="00427EDB" w:rsidRDefault="006B20F9" w:rsidP="00427EDB">
            <w:pPr>
              <w:jc w:val="center"/>
            </w:pPr>
            <w:r>
              <w:t>11,5</w:t>
            </w:r>
            <w:r w:rsidR="00427EDB">
              <w:t xml:space="preserve"> cm</w:t>
            </w:r>
          </w:p>
        </w:tc>
        <w:tc>
          <w:tcPr>
            <w:tcW w:w="2552" w:type="dxa"/>
          </w:tcPr>
          <w:p w14:paraId="3BACA7C3" w14:textId="5DEFB8D6" w:rsidR="00427EDB" w:rsidRDefault="00427EDB" w:rsidP="000F2FC7">
            <w:pPr>
              <w:jc w:val="center"/>
            </w:pPr>
            <w:r>
              <w:t>+3</w:t>
            </w:r>
            <w:r w:rsidR="006B20F9">
              <w:t>,3</w:t>
            </w:r>
            <w:r>
              <w:t xml:space="preserve"> cm</w:t>
            </w:r>
          </w:p>
        </w:tc>
      </w:tr>
      <w:tr w:rsidR="00427EDB" w14:paraId="37E7FA52" w14:textId="77777777" w:rsidTr="00427EDB">
        <w:tc>
          <w:tcPr>
            <w:tcW w:w="1418" w:type="dxa"/>
          </w:tcPr>
          <w:p w14:paraId="219C9D67" w14:textId="77777777" w:rsidR="00427EDB" w:rsidRDefault="00427EDB" w:rsidP="00427EDB">
            <w:pPr>
              <w:jc w:val="center"/>
            </w:pPr>
            <w:r>
              <w:t>R 1022</w:t>
            </w:r>
          </w:p>
        </w:tc>
        <w:tc>
          <w:tcPr>
            <w:tcW w:w="2552" w:type="dxa"/>
          </w:tcPr>
          <w:p w14:paraId="104F4D9D" w14:textId="74D3C3B6" w:rsidR="00427EDB" w:rsidRDefault="000F2FC7" w:rsidP="00427EDB">
            <w:pPr>
              <w:jc w:val="center"/>
            </w:pPr>
            <w:r>
              <w:t>30</w:t>
            </w:r>
            <w:r w:rsidR="00427EDB">
              <w:t xml:space="preserve"> cm</w:t>
            </w:r>
          </w:p>
        </w:tc>
        <w:tc>
          <w:tcPr>
            <w:tcW w:w="2552" w:type="dxa"/>
          </w:tcPr>
          <w:p w14:paraId="4D6147AB" w14:textId="00E2A366" w:rsidR="00427EDB" w:rsidRDefault="006B20F9" w:rsidP="00427EDB">
            <w:pPr>
              <w:jc w:val="center"/>
            </w:pPr>
            <w:r>
              <w:t>10</w:t>
            </w:r>
            <w:r w:rsidR="00427EDB">
              <w:t xml:space="preserve"> cm</w:t>
            </w:r>
          </w:p>
        </w:tc>
        <w:tc>
          <w:tcPr>
            <w:tcW w:w="2552" w:type="dxa"/>
          </w:tcPr>
          <w:p w14:paraId="2807377A" w14:textId="41F288D1" w:rsidR="00427EDB" w:rsidRDefault="00427EDB" w:rsidP="006B20F9">
            <w:pPr>
              <w:jc w:val="center"/>
            </w:pPr>
            <w:r>
              <w:t xml:space="preserve">+ </w:t>
            </w:r>
            <w:r w:rsidR="006B20F9">
              <w:t>2,9</w:t>
            </w:r>
            <w:r>
              <w:t xml:space="preserve"> cm</w:t>
            </w:r>
          </w:p>
        </w:tc>
      </w:tr>
      <w:tr w:rsidR="00427EDB" w14:paraId="4DC78877" w14:textId="77777777" w:rsidTr="00427EDB">
        <w:tc>
          <w:tcPr>
            <w:tcW w:w="1418" w:type="dxa"/>
          </w:tcPr>
          <w:p w14:paraId="597ADBB4" w14:textId="77777777" w:rsidR="00427EDB" w:rsidRDefault="00427EDB" w:rsidP="00427EDB">
            <w:pPr>
              <w:jc w:val="center"/>
            </w:pPr>
            <w:r>
              <w:t>R 1024</w:t>
            </w:r>
          </w:p>
        </w:tc>
        <w:tc>
          <w:tcPr>
            <w:tcW w:w="2552" w:type="dxa"/>
          </w:tcPr>
          <w:p w14:paraId="594B5FE8" w14:textId="6F8EE145" w:rsidR="00427EDB" w:rsidRDefault="00427EDB" w:rsidP="000F2FC7">
            <w:pPr>
              <w:jc w:val="center"/>
            </w:pPr>
            <w:r>
              <w:t>2</w:t>
            </w:r>
            <w:r w:rsidR="000F2FC7">
              <w:t>9</w:t>
            </w:r>
            <w:r>
              <w:t xml:space="preserve"> cm</w:t>
            </w:r>
          </w:p>
        </w:tc>
        <w:tc>
          <w:tcPr>
            <w:tcW w:w="2552" w:type="dxa"/>
          </w:tcPr>
          <w:p w14:paraId="3BAB271D" w14:textId="3E024E50" w:rsidR="00427EDB" w:rsidRDefault="006B20F9" w:rsidP="00427EDB">
            <w:pPr>
              <w:jc w:val="center"/>
            </w:pPr>
            <w:r>
              <w:t>9</w:t>
            </w:r>
            <w:r w:rsidR="00427EDB">
              <w:t xml:space="preserve"> cm</w:t>
            </w:r>
          </w:p>
        </w:tc>
        <w:tc>
          <w:tcPr>
            <w:tcW w:w="2552" w:type="dxa"/>
          </w:tcPr>
          <w:p w14:paraId="30086997" w14:textId="1077890E" w:rsidR="00427EDB" w:rsidRDefault="00427EDB" w:rsidP="000F2FC7">
            <w:pPr>
              <w:jc w:val="center"/>
            </w:pPr>
            <w:r>
              <w:t xml:space="preserve">+ </w:t>
            </w:r>
            <w:r w:rsidR="000F2FC7">
              <w:t>3</w:t>
            </w:r>
            <w:r w:rsidR="006B20F9">
              <w:t>,4</w:t>
            </w:r>
            <w:r>
              <w:t xml:space="preserve"> cm</w:t>
            </w:r>
          </w:p>
        </w:tc>
      </w:tr>
      <w:tr w:rsidR="00427EDB" w14:paraId="77DEE9AF" w14:textId="77777777" w:rsidTr="00427EDB">
        <w:tc>
          <w:tcPr>
            <w:tcW w:w="1418" w:type="dxa"/>
          </w:tcPr>
          <w:p w14:paraId="7ACB296C" w14:textId="77777777" w:rsidR="00427EDB" w:rsidRDefault="00427EDB" w:rsidP="00427EDB">
            <w:pPr>
              <w:jc w:val="center"/>
            </w:pPr>
            <w:r>
              <w:t>R 1036</w:t>
            </w:r>
          </w:p>
        </w:tc>
        <w:tc>
          <w:tcPr>
            <w:tcW w:w="2552" w:type="dxa"/>
          </w:tcPr>
          <w:p w14:paraId="5F011F86" w14:textId="0E8301E5" w:rsidR="00427EDB" w:rsidRDefault="00427EDB" w:rsidP="000F2FC7">
            <w:pPr>
              <w:jc w:val="center"/>
            </w:pPr>
            <w:r>
              <w:t>1</w:t>
            </w:r>
            <w:r w:rsidR="000F2FC7">
              <w:t>8</w:t>
            </w:r>
            <w:r>
              <w:t xml:space="preserve"> cm</w:t>
            </w:r>
          </w:p>
        </w:tc>
        <w:tc>
          <w:tcPr>
            <w:tcW w:w="2552" w:type="dxa"/>
          </w:tcPr>
          <w:p w14:paraId="49234B4B" w14:textId="35913BE5" w:rsidR="00427EDB" w:rsidRDefault="006B20F9" w:rsidP="00427EDB">
            <w:pPr>
              <w:jc w:val="center"/>
            </w:pPr>
            <w:r>
              <w:t>7</w:t>
            </w:r>
            <w:r w:rsidR="00427EDB">
              <w:t xml:space="preserve"> cm</w:t>
            </w:r>
          </w:p>
        </w:tc>
        <w:tc>
          <w:tcPr>
            <w:tcW w:w="2552" w:type="dxa"/>
          </w:tcPr>
          <w:p w14:paraId="6A0C607F" w14:textId="36DF716F" w:rsidR="00427EDB" w:rsidRDefault="00427EDB" w:rsidP="006B20F9">
            <w:pPr>
              <w:jc w:val="center"/>
            </w:pPr>
            <w:r>
              <w:t xml:space="preserve">+ </w:t>
            </w:r>
            <w:r w:rsidR="006B20F9">
              <w:t>2,6</w:t>
            </w:r>
            <w:r>
              <w:t xml:space="preserve"> cm</w:t>
            </w:r>
          </w:p>
        </w:tc>
      </w:tr>
    </w:tbl>
    <w:p w14:paraId="523DA637" w14:textId="600485B9" w:rsidR="00427EDB" w:rsidRPr="00391073" w:rsidRDefault="00427EDB" w:rsidP="00427EDB">
      <w:pPr>
        <w:jc w:val="both"/>
        <w:rPr>
          <w:rFonts w:eastAsia="Calibri"/>
        </w:rPr>
      </w:pPr>
      <w:r w:rsidRPr="00391073">
        <w:rPr>
          <w:rFonts w:eastAsia="Calibri"/>
        </w:rPr>
        <w:lastRenderedPageBreak/>
        <w:t xml:space="preserve">La valeur maximale cumulée en référence au levé du 3 mars 2013 atteint </w:t>
      </w:r>
      <w:r w:rsidR="006B20F9">
        <w:rPr>
          <w:rFonts w:eastAsia="Calibri"/>
        </w:rPr>
        <w:t>41</w:t>
      </w:r>
      <w:r w:rsidRPr="00391073">
        <w:rPr>
          <w:rFonts w:eastAsia="Calibri"/>
        </w:rPr>
        <w:t xml:space="preserve"> cm sur le point R1021</w:t>
      </w:r>
      <w:r>
        <w:rPr>
          <w:rFonts w:eastAsia="Calibri"/>
        </w:rPr>
        <w:t xml:space="preserve"> </w:t>
      </w:r>
      <w:r>
        <w:t xml:space="preserve">(+3 cm par rapport à la campagne précédente du 24 </w:t>
      </w:r>
      <w:r w:rsidR="00CF2C72">
        <w:t>septembre</w:t>
      </w:r>
      <w:r>
        <w:t xml:space="preserve"> 2014)</w:t>
      </w:r>
      <w:r w:rsidRPr="00391073">
        <w:rPr>
          <w:rFonts w:eastAsia="Calibri"/>
        </w:rPr>
        <w:t xml:space="preserve">. </w:t>
      </w:r>
    </w:p>
    <w:p w14:paraId="221E60F4" w14:textId="20E5BEB0" w:rsidR="00427EDB" w:rsidRDefault="00427EDB" w:rsidP="00427EDB">
      <w:pPr>
        <w:jc w:val="both"/>
        <w:rPr>
          <w:rFonts w:eastAsia="Calibri"/>
        </w:rPr>
      </w:pPr>
      <w:r w:rsidRPr="00391073">
        <w:rPr>
          <w:rFonts w:eastAsia="Calibri"/>
        </w:rPr>
        <w:t xml:space="preserve">Ce dernier montre une surrection de </w:t>
      </w:r>
      <w:r w:rsidR="006B20F9">
        <w:rPr>
          <w:rFonts w:eastAsia="Calibri"/>
        </w:rPr>
        <w:t>11,5</w:t>
      </w:r>
      <w:r w:rsidRPr="00391073">
        <w:rPr>
          <w:rFonts w:eastAsia="Calibri"/>
        </w:rPr>
        <w:t xml:space="preserve"> cm par rapport au levé du 17/04/2014.</w:t>
      </w:r>
    </w:p>
    <w:p w14:paraId="584D81BA" w14:textId="77777777" w:rsidR="00427EDB" w:rsidRDefault="00427EDB" w:rsidP="00427EDB"/>
    <w:p w14:paraId="027A235F" w14:textId="21B67AA4" w:rsidR="00427EDB" w:rsidRDefault="000F2FC7" w:rsidP="00427EDB">
      <w:pPr>
        <w:jc w:val="center"/>
      </w:pPr>
      <w:r>
        <w:rPr>
          <w:noProof/>
        </w:rPr>
        <w:drawing>
          <wp:inline distT="0" distB="0" distL="0" distR="0" wp14:anchorId="49C002F6" wp14:editId="7BEAC518">
            <wp:extent cx="5058000" cy="4129200"/>
            <wp:effectExtent l="0" t="0" r="0" b="508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8000" cy="4129200"/>
                    </a:xfrm>
                    <a:prstGeom prst="rect">
                      <a:avLst/>
                    </a:prstGeom>
                    <a:noFill/>
                    <a:ln>
                      <a:noFill/>
                    </a:ln>
                  </pic:spPr>
                </pic:pic>
              </a:graphicData>
            </a:graphic>
          </wp:inline>
        </w:drawing>
      </w:r>
    </w:p>
    <w:p w14:paraId="2E06EB87" w14:textId="553A33C0" w:rsidR="00427EDB" w:rsidRDefault="006B20F9" w:rsidP="00427EDB">
      <w:pPr>
        <w:jc w:val="center"/>
      </w:pPr>
      <w:r>
        <w:rPr>
          <w:noProof/>
        </w:rPr>
        <w:drawing>
          <wp:inline distT="0" distB="0" distL="0" distR="0" wp14:anchorId="3C3BCD17" wp14:editId="78982A98">
            <wp:extent cx="5036400" cy="34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36400" cy="3452400"/>
                    </a:xfrm>
                    <a:prstGeom prst="rect">
                      <a:avLst/>
                    </a:prstGeom>
                    <a:noFill/>
                    <a:ln>
                      <a:noFill/>
                    </a:ln>
                  </pic:spPr>
                </pic:pic>
              </a:graphicData>
            </a:graphic>
          </wp:inline>
        </w:drawing>
      </w:r>
    </w:p>
    <w:p w14:paraId="6E7DEBCB" w14:textId="296C2945" w:rsidR="00427EDB" w:rsidRDefault="00427EDB" w:rsidP="00427EDB">
      <w:pPr>
        <w:jc w:val="both"/>
      </w:pPr>
      <w:r>
        <w:lastRenderedPageBreak/>
        <w:t xml:space="preserve">Afin de disposer d’une bonne approche de la tendance évolutive des mouvements verticaux, un calcul des vitesses a été effectué entre </w:t>
      </w:r>
      <w:r w:rsidR="007E6F2B">
        <w:t>les différentes</w:t>
      </w:r>
      <w:r>
        <w:t xml:space="preserve"> campagnes de mesures. Le résultat est reporté dans le graphe ci-dessous.</w:t>
      </w:r>
    </w:p>
    <w:p w14:paraId="6FCBCC25" w14:textId="62DCB626" w:rsidR="00427EDB" w:rsidRPr="00C76CCE" w:rsidRDefault="00CF2FEC" w:rsidP="00427EDB">
      <w:pPr>
        <w:jc w:val="both"/>
        <w:rPr>
          <w:b/>
        </w:rPr>
      </w:pPr>
      <w:r w:rsidRPr="00C76CCE">
        <w:rPr>
          <w:b/>
        </w:rPr>
        <w:t>La vitesse actuelle</w:t>
      </w:r>
      <w:r w:rsidR="00427EDB" w:rsidRPr="00C76CCE">
        <w:rPr>
          <w:b/>
        </w:rPr>
        <w:t xml:space="preserve"> </w:t>
      </w:r>
      <w:r w:rsidRPr="00C76CCE">
        <w:rPr>
          <w:b/>
        </w:rPr>
        <w:t>d</w:t>
      </w:r>
      <w:r w:rsidR="00427EDB" w:rsidRPr="00C76CCE">
        <w:rPr>
          <w:b/>
        </w:rPr>
        <w:t xml:space="preserve">es quatre repères les plus affectés se situe entre </w:t>
      </w:r>
      <w:r w:rsidR="004D7D15">
        <w:rPr>
          <w:b/>
        </w:rPr>
        <w:t>1</w:t>
      </w:r>
      <w:r w:rsidR="00427EDB" w:rsidRPr="00C76CCE">
        <w:rPr>
          <w:b/>
        </w:rPr>
        <w:t xml:space="preserve"> et 1,5 cm/mois.</w:t>
      </w:r>
    </w:p>
    <w:p w14:paraId="07B1CB18" w14:textId="77777777" w:rsidR="00427EDB" w:rsidRDefault="00427EDB" w:rsidP="00427EDB">
      <w:pPr>
        <w:jc w:val="both"/>
      </w:pPr>
    </w:p>
    <w:p w14:paraId="2062CADE" w14:textId="5B628794" w:rsidR="00427EDB" w:rsidRDefault="00CF2FEC" w:rsidP="00427EDB">
      <w:pPr>
        <w:jc w:val="center"/>
      </w:pPr>
      <w:r>
        <w:rPr>
          <w:noProof/>
        </w:rPr>
        <w:drawing>
          <wp:inline distT="0" distB="0" distL="0" distR="0" wp14:anchorId="503C07EC" wp14:editId="63F992EE">
            <wp:extent cx="4200083" cy="2933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02122" cy="2935124"/>
                    </a:xfrm>
                    <a:prstGeom prst="rect">
                      <a:avLst/>
                    </a:prstGeom>
                    <a:noFill/>
                  </pic:spPr>
                </pic:pic>
              </a:graphicData>
            </a:graphic>
          </wp:inline>
        </w:drawing>
      </w:r>
    </w:p>
    <w:p w14:paraId="3577F311" w14:textId="77777777" w:rsidR="007E6F2B" w:rsidRDefault="007E6F2B" w:rsidP="00427EDB">
      <w:pPr>
        <w:jc w:val="center"/>
      </w:pPr>
    </w:p>
    <w:p w14:paraId="6054E18C" w14:textId="691FFBEA" w:rsidR="00427EDB" w:rsidRDefault="00427EDB" w:rsidP="00427EDB">
      <w:pPr>
        <w:pStyle w:val="Paragraphedeliste"/>
        <w:numPr>
          <w:ilvl w:val="1"/>
          <w:numId w:val="9"/>
        </w:numPr>
        <w:jc w:val="both"/>
        <w:rPr>
          <w:u w:val="single"/>
        </w:rPr>
      </w:pPr>
      <w:r>
        <w:rPr>
          <w:u w:val="single"/>
        </w:rPr>
        <w:t>Déplacements horizontaux (DX Y)</w:t>
      </w:r>
    </w:p>
    <w:p w14:paraId="335DA9FA" w14:textId="77777777" w:rsidR="00427EDB" w:rsidRDefault="00427EDB" w:rsidP="00427EDB">
      <w:pPr>
        <w:rPr>
          <w:u w:val="single"/>
        </w:rPr>
      </w:pPr>
    </w:p>
    <w:p w14:paraId="2B4EA7CD" w14:textId="723E4052" w:rsidR="00427EDB" w:rsidRDefault="00427EDB" w:rsidP="00427EDB">
      <w:pPr>
        <w:jc w:val="both"/>
      </w:pPr>
      <w:r>
        <w:t>Les graphes ci-après illustrent l’évolution des déplacements horizontaux. Les valeurs correspondent à l’écart entre le point de référence et le point mesuré.</w:t>
      </w:r>
    </w:p>
    <w:p w14:paraId="03881DFF" w14:textId="233D3AD9" w:rsidR="00427EDB" w:rsidRDefault="00427EDB" w:rsidP="00427EDB">
      <w:pPr>
        <w:jc w:val="both"/>
      </w:pPr>
      <w:r>
        <w:rPr>
          <w:b/>
          <w:bCs/>
        </w:rPr>
        <w:t xml:space="preserve">On constate  que </w:t>
      </w:r>
      <w:r w:rsidR="007E6F2B">
        <w:rPr>
          <w:b/>
          <w:bCs/>
        </w:rPr>
        <w:t>les déplacements horizontaux</w:t>
      </w:r>
      <w:r>
        <w:rPr>
          <w:b/>
          <w:bCs/>
        </w:rPr>
        <w:t xml:space="preserve"> se poursuivent</w:t>
      </w:r>
      <w:r>
        <w:t>. Le tableau ci-dessous indique les repères présentant les déplacements les plus significatifs par rapport aux deux dates de référence ainsi que la tendance vis-à-vis de la campagne précédente (24/07/14):</w:t>
      </w:r>
    </w:p>
    <w:p w14:paraId="17F36DCC" w14:textId="77777777" w:rsidR="00427EDB" w:rsidRDefault="00427EDB" w:rsidP="00427EDB"/>
    <w:tbl>
      <w:tblPr>
        <w:tblStyle w:val="Grilledutableau"/>
        <w:tblW w:w="0" w:type="auto"/>
        <w:tblLayout w:type="fixed"/>
        <w:tblLook w:val="04A0" w:firstRow="1" w:lastRow="0" w:firstColumn="1" w:lastColumn="0" w:noHBand="0" w:noVBand="1"/>
      </w:tblPr>
      <w:tblGrid>
        <w:gridCol w:w="1418"/>
        <w:gridCol w:w="2552"/>
        <w:gridCol w:w="2552"/>
        <w:gridCol w:w="2552"/>
      </w:tblGrid>
      <w:tr w:rsidR="00427EDB" w14:paraId="1BDE4FE9" w14:textId="77777777" w:rsidTr="00427EDB">
        <w:tc>
          <w:tcPr>
            <w:tcW w:w="1418" w:type="dxa"/>
          </w:tcPr>
          <w:p w14:paraId="70C7DA63" w14:textId="77777777" w:rsidR="00427EDB" w:rsidRDefault="00427EDB" w:rsidP="00427EDB">
            <w:pPr>
              <w:jc w:val="center"/>
            </w:pPr>
          </w:p>
        </w:tc>
        <w:tc>
          <w:tcPr>
            <w:tcW w:w="2552" w:type="dxa"/>
          </w:tcPr>
          <w:p w14:paraId="3E11F968" w14:textId="77777777" w:rsidR="00427EDB" w:rsidRDefault="00427EDB" w:rsidP="00427EDB">
            <w:pPr>
              <w:jc w:val="center"/>
            </w:pPr>
            <w:r w:rsidRPr="00DB02C4">
              <w:t xml:space="preserve">Cumulé </w:t>
            </w:r>
          </w:p>
          <w:p w14:paraId="5299E4C5" w14:textId="77777777" w:rsidR="00427EDB" w:rsidRPr="00DB02C4" w:rsidRDefault="00427EDB" w:rsidP="00427EDB">
            <w:pPr>
              <w:jc w:val="center"/>
            </w:pPr>
            <w:r>
              <w:t>(référence au</w:t>
            </w:r>
            <w:r w:rsidRPr="00DB02C4">
              <w:t xml:space="preserve"> 03/03/13</w:t>
            </w:r>
            <w:r>
              <w:t>)</w:t>
            </w:r>
          </w:p>
        </w:tc>
        <w:tc>
          <w:tcPr>
            <w:tcW w:w="2552" w:type="dxa"/>
          </w:tcPr>
          <w:p w14:paraId="74EA392C" w14:textId="77777777" w:rsidR="00427EDB" w:rsidRDefault="00427EDB" w:rsidP="00427EDB">
            <w:pPr>
              <w:jc w:val="center"/>
            </w:pPr>
            <w:r w:rsidRPr="00DB02C4">
              <w:t xml:space="preserve">Cumulé </w:t>
            </w:r>
          </w:p>
          <w:p w14:paraId="58A0447E" w14:textId="77777777" w:rsidR="00427EDB" w:rsidRPr="00DB02C4" w:rsidRDefault="00427EDB" w:rsidP="00427EDB">
            <w:pPr>
              <w:jc w:val="center"/>
            </w:pPr>
            <w:r>
              <w:t xml:space="preserve">(référence </w:t>
            </w:r>
            <w:r w:rsidRPr="00DB02C4">
              <w:t>au 17/04/14</w:t>
            </w:r>
            <w:r>
              <w:t>)</w:t>
            </w:r>
          </w:p>
        </w:tc>
        <w:tc>
          <w:tcPr>
            <w:tcW w:w="2552" w:type="dxa"/>
          </w:tcPr>
          <w:p w14:paraId="17708B30" w14:textId="77777777" w:rsidR="00427EDB" w:rsidRDefault="00427EDB" w:rsidP="00427EDB">
            <w:pPr>
              <w:jc w:val="center"/>
            </w:pPr>
            <w:r>
              <w:t>Tendance</w:t>
            </w:r>
          </w:p>
          <w:p w14:paraId="53987C1D" w14:textId="77777777" w:rsidR="00427EDB" w:rsidRDefault="00427EDB" w:rsidP="00427EDB">
            <w:pPr>
              <w:jc w:val="center"/>
            </w:pPr>
            <w:r>
              <w:t>(référence au 24/07/14)</w:t>
            </w:r>
          </w:p>
        </w:tc>
      </w:tr>
      <w:tr w:rsidR="00427EDB" w14:paraId="52A36773" w14:textId="77777777" w:rsidTr="00427EDB">
        <w:tc>
          <w:tcPr>
            <w:tcW w:w="1418" w:type="dxa"/>
          </w:tcPr>
          <w:p w14:paraId="3AAC5C49" w14:textId="77777777" w:rsidR="00427EDB" w:rsidRDefault="00427EDB" w:rsidP="00427EDB">
            <w:pPr>
              <w:jc w:val="center"/>
            </w:pPr>
            <w:r>
              <w:t>R 1024</w:t>
            </w:r>
          </w:p>
        </w:tc>
        <w:tc>
          <w:tcPr>
            <w:tcW w:w="2552" w:type="dxa"/>
          </w:tcPr>
          <w:p w14:paraId="015D30AB" w14:textId="52B4150C" w:rsidR="00427EDB" w:rsidRDefault="00427EDB" w:rsidP="00A61FCE">
            <w:pPr>
              <w:jc w:val="center"/>
            </w:pPr>
            <w:r>
              <w:t>2</w:t>
            </w:r>
            <w:r w:rsidR="00A61FCE">
              <w:t>5,6</w:t>
            </w:r>
            <w:r>
              <w:t xml:space="preserve"> cm</w:t>
            </w:r>
          </w:p>
        </w:tc>
        <w:tc>
          <w:tcPr>
            <w:tcW w:w="2552" w:type="dxa"/>
          </w:tcPr>
          <w:p w14:paraId="6F20C2EC" w14:textId="0B895E5F" w:rsidR="00427EDB" w:rsidRDefault="00A61FCE" w:rsidP="00A61FCE">
            <w:pPr>
              <w:jc w:val="center"/>
            </w:pPr>
            <w:r>
              <w:t>8</w:t>
            </w:r>
            <w:r w:rsidR="00427EDB">
              <w:t>,</w:t>
            </w:r>
            <w:r>
              <w:t>0</w:t>
            </w:r>
            <w:r w:rsidR="00427EDB">
              <w:t xml:space="preserve"> cm</w:t>
            </w:r>
          </w:p>
        </w:tc>
        <w:tc>
          <w:tcPr>
            <w:tcW w:w="2552" w:type="dxa"/>
          </w:tcPr>
          <w:p w14:paraId="56E2B76B" w14:textId="3D009328" w:rsidR="00427EDB" w:rsidRDefault="00427EDB" w:rsidP="00A61FCE">
            <w:pPr>
              <w:jc w:val="center"/>
            </w:pPr>
            <w:r>
              <w:t>+</w:t>
            </w:r>
            <w:r w:rsidR="00A61FCE">
              <w:t>1</w:t>
            </w:r>
            <w:r>
              <w:t>,</w:t>
            </w:r>
            <w:r w:rsidR="00A61FCE">
              <w:t>5</w:t>
            </w:r>
            <w:r>
              <w:t xml:space="preserve"> cm</w:t>
            </w:r>
          </w:p>
        </w:tc>
      </w:tr>
      <w:tr w:rsidR="00427EDB" w14:paraId="030D5857" w14:textId="77777777" w:rsidTr="00427EDB">
        <w:tc>
          <w:tcPr>
            <w:tcW w:w="1418" w:type="dxa"/>
          </w:tcPr>
          <w:p w14:paraId="61C48FFA" w14:textId="77777777" w:rsidR="00427EDB" w:rsidRDefault="00427EDB" w:rsidP="00427EDB">
            <w:pPr>
              <w:jc w:val="center"/>
            </w:pPr>
            <w:r>
              <w:t>R 1036</w:t>
            </w:r>
          </w:p>
        </w:tc>
        <w:tc>
          <w:tcPr>
            <w:tcW w:w="2552" w:type="dxa"/>
          </w:tcPr>
          <w:p w14:paraId="4CD4448F" w14:textId="4546E0A6" w:rsidR="00427EDB" w:rsidRDefault="00A61FCE" w:rsidP="00427EDB">
            <w:pPr>
              <w:jc w:val="center"/>
            </w:pPr>
            <w:r>
              <w:t>21,2</w:t>
            </w:r>
            <w:r w:rsidR="00427EDB">
              <w:t xml:space="preserve"> cm</w:t>
            </w:r>
          </w:p>
        </w:tc>
        <w:tc>
          <w:tcPr>
            <w:tcW w:w="2552" w:type="dxa"/>
          </w:tcPr>
          <w:p w14:paraId="0656FA85" w14:textId="46873D52" w:rsidR="00427EDB" w:rsidRDefault="00A61FCE" w:rsidP="00A61FCE">
            <w:pPr>
              <w:jc w:val="center"/>
            </w:pPr>
            <w:r>
              <w:t>8</w:t>
            </w:r>
            <w:r w:rsidR="00427EDB">
              <w:t>,</w:t>
            </w:r>
            <w:r>
              <w:t>1</w:t>
            </w:r>
            <w:r w:rsidR="00427EDB">
              <w:t xml:space="preserve"> cm</w:t>
            </w:r>
          </w:p>
        </w:tc>
        <w:tc>
          <w:tcPr>
            <w:tcW w:w="2552" w:type="dxa"/>
          </w:tcPr>
          <w:p w14:paraId="51D56841" w14:textId="66B98309" w:rsidR="00427EDB" w:rsidRDefault="00427EDB" w:rsidP="00A61FCE">
            <w:pPr>
              <w:jc w:val="center"/>
            </w:pPr>
            <w:r>
              <w:t xml:space="preserve">+ </w:t>
            </w:r>
            <w:r w:rsidR="00A61FCE">
              <w:t>2</w:t>
            </w:r>
            <w:r>
              <w:t>,</w:t>
            </w:r>
            <w:r w:rsidR="00A61FCE">
              <w:t>4</w:t>
            </w:r>
            <w:r>
              <w:t xml:space="preserve"> cm</w:t>
            </w:r>
          </w:p>
        </w:tc>
      </w:tr>
      <w:tr w:rsidR="00427EDB" w14:paraId="382CABB8" w14:textId="77777777" w:rsidTr="00427EDB">
        <w:tc>
          <w:tcPr>
            <w:tcW w:w="1418" w:type="dxa"/>
          </w:tcPr>
          <w:p w14:paraId="3202A319" w14:textId="77777777" w:rsidR="00427EDB" w:rsidRDefault="00427EDB" w:rsidP="00427EDB">
            <w:pPr>
              <w:jc w:val="center"/>
            </w:pPr>
            <w:r>
              <w:t>R 1026</w:t>
            </w:r>
          </w:p>
        </w:tc>
        <w:tc>
          <w:tcPr>
            <w:tcW w:w="2552" w:type="dxa"/>
          </w:tcPr>
          <w:p w14:paraId="2A37D758" w14:textId="77777777" w:rsidR="00427EDB" w:rsidRDefault="00427EDB" w:rsidP="00427EDB">
            <w:pPr>
              <w:jc w:val="center"/>
            </w:pPr>
            <w:r>
              <w:t>(nouveau point)</w:t>
            </w:r>
          </w:p>
        </w:tc>
        <w:tc>
          <w:tcPr>
            <w:tcW w:w="2552" w:type="dxa"/>
          </w:tcPr>
          <w:p w14:paraId="3B4D0C9B" w14:textId="68CC989F" w:rsidR="00427EDB" w:rsidRDefault="00A61FCE" w:rsidP="00A61FCE">
            <w:pPr>
              <w:jc w:val="center"/>
            </w:pPr>
            <w:r>
              <w:t>7</w:t>
            </w:r>
            <w:r w:rsidR="00427EDB">
              <w:t>,</w:t>
            </w:r>
            <w:r>
              <w:t>0</w:t>
            </w:r>
            <w:r w:rsidR="00427EDB">
              <w:t xml:space="preserve"> cm</w:t>
            </w:r>
          </w:p>
        </w:tc>
        <w:tc>
          <w:tcPr>
            <w:tcW w:w="2552" w:type="dxa"/>
          </w:tcPr>
          <w:p w14:paraId="15E974A5" w14:textId="4991C392" w:rsidR="00427EDB" w:rsidRDefault="00427EDB" w:rsidP="00A61FCE">
            <w:pPr>
              <w:jc w:val="center"/>
            </w:pPr>
            <w:r>
              <w:t xml:space="preserve">+ </w:t>
            </w:r>
            <w:r w:rsidR="00A61FCE">
              <w:t>1</w:t>
            </w:r>
            <w:r>
              <w:t>,</w:t>
            </w:r>
            <w:r w:rsidR="00A61FCE">
              <w:t>5</w:t>
            </w:r>
            <w:r>
              <w:t xml:space="preserve"> cm</w:t>
            </w:r>
          </w:p>
        </w:tc>
      </w:tr>
      <w:tr w:rsidR="00427EDB" w14:paraId="5F58E539" w14:textId="77777777" w:rsidTr="00427EDB">
        <w:tc>
          <w:tcPr>
            <w:tcW w:w="1418" w:type="dxa"/>
          </w:tcPr>
          <w:p w14:paraId="24C47A27" w14:textId="77777777" w:rsidR="00427EDB" w:rsidRDefault="00427EDB" w:rsidP="00427EDB">
            <w:pPr>
              <w:jc w:val="center"/>
            </w:pPr>
            <w:r>
              <w:t>R 1034</w:t>
            </w:r>
          </w:p>
        </w:tc>
        <w:tc>
          <w:tcPr>
            <w:tcW w:w="2552" w:type="dxa"/>
          </w:tcPr>
          <w:p w14:paraId="208EE883" w14:textId="77777777" w:rsidR="00427EDB" w:rsidRDefault="00427EDB" w:rsidP="00427EDB">
            <w:pPr>
              <w:jc w:val="center"/>
            </w:pPr>
            <w:r>
              <w:t>(nouveau point)</w:t>
            </w:r>
          </w:p>
        </w:tc>
        <w:tc>
          <w:tcPr>
            <w:tcW w:w="2552" w:type="dxa"/>
          </w:tcPr>
          <w:p w14:paraId="257AA1DD" w14:textId="1ACABC63" w:rsidR="00427EDB" w:rsidRDefault="00A61FCE" w:rsidP="00A61FCE">
            <w:pPr>
              <w:jc w:val="center"/>
            </w:pPr>
            <w:r>
              <w:t>7</w:t>
            </w:r>
            <w:r w:rsidR="00427EDB">
              <w:t>,</w:t>
            </w:r>
            <w:r>
              <w:t>0</w:t>
            </w:r>
            <w:r w:rsidR="00427EDB">
              <w:t xml:space="preserve"> cm</w:t>
            </w:r>
          </w:p>
        </w:tc>
        <w:tc>
          <w:tcPr>
            <w:tcW w:w="2552" w:type="dxa"/>
          </w:tcPr>
          <w:p w14:paraId="6CA05E92" w14:textId="7C32F202" w:rsidR="00427EDB" w:rsidRDefault="00427EDB" w:rsidP="00A61FCE">
            <w:pPr>
              <w:jc w:val="center"/>
            </w:pPr>
            <w:r>
              <w:t>+ 1,</w:t>
            </w:r>
            <w:r w:rsidR="00A61FCE">
              <w:t>7</w:t>
            </w:r>
            <w:r>
              <w:t xml:space="preserve"> cm</w:t>
            </w:r>
          </w:p>
        </w:tc>
      </w:tr>
      <w:tr w:rsidR="00427EDB" w14:paraId="4F86411E" w14:textId="77777777" w:rsidTr="00427EDB">
        <w:tc>
          <w:tcPr>
            <w:tcW w:w="1418" w:type="dxa"/>
          </w:tcPr>
          <w:p w14:paraId="705EA1FB" w14:textId="77777777" w:rsidR="00427EDB" w:rsidRDefault="00427EDB" w:rsidP="00427EDB">
            <w:pPr>
              <w:jc w:val="center"/>
            </w:pPr>
            <w:r>
              <w:t>R 1035</w:t>
            </w:r>
          </w:p>
        </w:tc>
        <w:tc>
          <w:tcPr>
            <w:tcW w:w="2552" w:type="dxa"/>
          </w:tcPr>
          <w:p w14:paraId="7979180F" w14:textId="5F18CC79" w:rsidR="00427EDB" w:rsidRDefault="00427EDB" w:rsidP="00A61FCE">
            <w:pPr>
              <w:jc w:val="center"/>
            </w:pPr>
            <w:r>
              <w:t>2</w:t>
            </w:r>
            <w:r w:rsidR="00A61FCE">
              <w:t>2,1</w:t>
            </w:r>
            <w:r>
              <w:t xml:space="preserve"> cm</w:t>
            </w:r>
          </w:p>
        </w:tc>
        <w:tc>
          <w:tcPr>
            <w:tcW w:w="2552" w:type="dxa"/>
          </w:tcPr>
          <w:p w14:paraId="359CFDA6" w14:textId="047C9815" w:rsidR="00427EDB" w:rsidRDefault="00A61FCE" w:rsidP="00427EDB">
            <w:pPr>
              <w:jc w:val="center"/>
            </w:pPr>
            <w:r>
              <w:t>7</w:t>
            </w:r>
            <w:r w:rsidR="00427EDB">
              <w:t>,2 cm</w:t>
            </w:r>
          </w:p>
        </w:tc>
        <w:tc>
          <w:tcPr>
            <w:tcW w:w="2552" w:type="dxa"/>
          </w:tcPr>
          <w:p w14:paraId="62BB8911" w14:textId="1C358B04" w:rsidR="00427EDB" w:rsidRDefault="00427EDB" w:rsidP="00A61FCE">
            <w:pPr>
              <w:jc w:val="center"/>
            </w:pPr>
            <w:r>
              <w:t xml:space="preserve">+ </w:t>
            </w:r>
            <w:r w:rsidR="00A61FCE">
              <w:t>2</w:t>
            </w:r>
            <w:r>
              <w:t>,</w:t>
            </w:r>
            <w:r w:rsidR="00A61FCE">
              <w:t>0</w:t>
            </w:r>
            <w:r>
              <w:t xml:space="preserve"> cm</w:t>
            </w:r>
          </w:p>
        </w:tc>
      </w:tr>
      <w:tr w:rsidR="00427EDB" w14:paraId="32B7D11C" w14:textId="77777777" w:rsidTr="00427EDB">
        <w:tc>
          <w:tcPr>
            <w:tcW w:w="1418" w:type="dxa"/>
          </w:tcPr>
          <w:p w14:paraId="6C7D03F9" w14:textId="77777777" w:rsidR="00427EDB" w:rsidRDefault="00427EDB" w:rsidP="00427EDB">
            <w:pPr>
              <w:jc w:val="center"/>
            </w:pPr>
            <w:r>
              <w:t>R 1021</w:t>
            </w:r>
          </w:p>
        </w:tc>
        <w:tc>
          <w:tcPr>
            <w:tcW w:w="2552" w:type="dxa"/>
          </w:tcPr>
          <w:p w14:paraId="130E4CC3" w14:textId="55692249" w:rsidR="00427EDB" w:rsidRDefault="00427EDB" w:rsidP="00427EDB">
            <w:pPr>
              <w:jc w:val="center"/>
            </w:pPr>
            <w:r>
              <w:t>16</w:t>
            </w:r>
            <w:r w:rsidR="00A61FCE">
              <w:t>,7</w:t>
            </w:r>
            <w:r>
              <w:t xml:space="preserve"> cm</w:t>
            </w:r>
          </w:p>
        </w:tc>
        <w:tc>
          <w:tcPr>
            <w:tcW w:w="2552" w:type="dxa"/>
          </w:tcPr>
          <w:p w14:paraId="26A39E7F" w14:textId="396D5EB6" w:rsidR="00427EDB" w:rsidRDefault="00A61FCE" w:rsidP="00A61FCE">
            <w:pPr>
              <w:jc w:val="center"/>
            </w:pPr>
            <w:r>
              <w:t>5</w:t>
            </w:r>
            <w:r w:rsidR="00427EDB">
              <w:t>,</w:t>
            </w:r>
            <w:r>
              <w:t>7</w:t>
            </w:r>
            <w:r w:rsidR="00427EDB">
              <w:t xml:space="preserve"> cm</w:t>
            </w:r>
          </w:p>
        </w:tc>
        <w:tc>
          <w:tcPr>
            <w:tcW w:w="2552" w:type="dxa"/>
          </w:tcPr>
          <w:p w14:paraId="6E0436D1" w14:textId="4FDE629E" w:rsidR="00427EDB" w:rsidRDefault="00427EDB" w:rsidP="00A61FCE">
            <w:pPr>
              <w:jc w:val="center"/>
            </w:pPr>
            <w:r>
              <w:t>+ 1,</w:t>
            </w:r>
            <w:r w:rsidR="00A61FCE">
              <w:t>1</w:t>
            </w:r>
            <w:r>
              <w:t xml:space="preserve"> cm</w:t>
            </w:r>
          </w:p>
        </w:tc>
      </w:tr>
      <w:tr w:rsidR="00427EDB" w14:paraId="6EAF0387" w14:textId="77777777" w:rsidTr="00427EDB">
        <w:tc>
          <w:tcPr>
            <w:tcW w:w="1418" w:type="dxa"/>
          </w:tcPr>
          <w:p w14:paraId="50DDE946" w14:textId="77777777" w:rsidR="00427EDB" w:rsidRDefault="00427EDB" w:rsidP="00427EDB">
            <w:pPr>
              <w:jc w:val="center"/>
            </w:pPr>
            <w:r>
              <w:t>R 1025</w:t>
            </w:r>
          </w:p>
        </w:tc>
        <w:tc>
          <w:tcPr>
            <w:tcW w:w="2552" w:type="dxa"/>
          </w:tcPr>
          <w:p w14:paraId="6C4B14EB" w14:textId="079FC0BE" w:rsidR="00427EDB" w:rsidRDefault="00A61FCE" w:rsidP="00427EDB">
            <w:pPr>
              <w:jc w:val="center"/>
            </w:pPr>
            <w:r>
              <w:t>-</w:t>
            </w:r>
          </w:p>
        </w:tc>
        <w:tc>
          <w:tcPr>
            <w:tcW w:w="2552" w:type="dxa"/>
          </w:tcPr>
          <w:p w14:paraId="176E6A31" w14:textId="432997E7" w:rsidR="00427EDB" w:rsidRDefault="00A61FCE" w:rsidP="00427EDB">
            <w:pPr>
              <w:jc w:val="center"/>
            </w:pPr>
            <w:r>
              <w:t>-</w:t>
            </w:r>
          </w:p>
        </w:tc>
        <w:tc>
          <w:tcPr>
            <w:tcW w:w="2552" w:type="dxa"/>
          </w:tcPr>
          <w:p w14:paraId="01ECA628" w14:textId="22C130CB" w:rsidR="00427EDB" w:rsidRDefault="00A61FCE" w:rsidP="00427EDB">
            <w:pPr>
              <w:jc w:val="center"/>
            </w:pPr>
            <w:r>
              <w:t>-</w:t>
            </w:r>
          </w:p>
        </w:tc>
      </w:tr>
    </w:tbl>
    <w:p w14:paraId="4B273852" w14:textId="77777777" w:rsidR="00427EDB" w:rsidRDefault="00427EDB" w:rsidP="00427EDB"/>
    <w:p w14:paraId="3AA8904F" w14:textId="6473F023" w:rsidR="00427EDB" w:rsidRDefault="00427EDB" w:rsidP="00427EDB">
      <w:pPr>
        <w:jc w:val="both"/>
      </w:pPr>
      <w:r>
        <w:t>La valeur maximale cumulée en référence au levé du 3 mars 2013 atteint 2</w:t>
      </w:r>
      <w:r w:rsidR="00A61FCE">
        <w:t>5,6</w:t>
      </w:r>
      <w:r>
        <w:t xml:space="preserve"> cm sur le point R1024 (+</w:t>
      </w:r>
      <w:r w:rsidR="00A61FCE">
        <w:t>1,5</w:t>
      </w:r>
      <w:r>
        <w:t xml:space="preserve"> cm par rapport à la campagne précédente du 24 </w:t>
      </w:r>
      <w:r w:rsidR="00A61FCE">
        <w:t>septembre</w:t>
      </w:r>
      <w:r>
        <w:t xml:space="preserve"> 2014). Ce dernier montre une surrection de </w:t>
      </w:r>
      <w:r w:rsidR="00A61FCE">
        <w:t>8</w:t>
      </w:r>
      <w:r>
        <w:t xml:space="preserve"> cm par rapport au levé du 17/04/2014.</w:t>
      </w:r>
    </w:p>
    <w:p w14:paraId="6FB4FD77" w14:textId="77777777" w:rsidR="00427EDB" w:rsidRDefault="00427EDB" w:rsidP="00427EDB">
      <w:pPr>
        <w:jc w:val="both"/>
      </w:pPr>
      <w:r>
        <w:t>L’azimut des déplacements des sept points est orienté à l’ouest et sud-ouest.</w:t>
      </w:r>
    </w:p>
    <w:p w14:paraId="4FAA15DA" w14:textId="77777777" w:rsidR="00427EDB" w:rsidRDefault="00427EDB" w:rsidP="00427EDB">
      <w:pPr>
        <w:rPr>
          <w:u w:val="single"/>
        </w:rPr>
      </w:pPr>
    </w:p>
    <w:p w14:paraId="4B153120" w14:textId="7A76434A" w:rsidR="00427EDB" w:rsidRDefault="00A61FCE" w:rsidP="00427EDB">
      <w:pPr>
        <w:jc w:val="center"/>
        <w:rPr>
          <w:u w:val="single"/>
        </w:rPr>
      </w:pPr>
      <w:r>
        <w:rPr>
          <w:noProof/>
          <w:u w:val="single"/>
        </w:rPr>
        <w:lastRenderedPageBreak/>
        <w:drawing>
          <wp:inline distT="0" distB="0" distL="0" distR="0" wp14:anchorId="0B83F809" wp14:editId="26006399">
            <wp:extent cx="5364000" cy="3999600"/>
            <wp:effectExtent l="0" t="0" r="8255" b="127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64000" cy="3999600"/>
                    </a:xfrm>
                    <a:prstGeom prst="rect">
                      <a:avLst/>
                    </a:prstGeom>
                    <a:noFill/>
                    <a:ln>
                      <a:noFill/>
                    </a:ln>
                  </pic:spPr>
                </pic:pic>
              </a:graphicData>
            </a:graphic>
          </wp:inline>
        </w:drawing>
      </w:r>
    </w:p>
    <w:p w14:paraId="070A65CE" w14:textId="77777777" w:rsidR="00427EDB" w:rsidRDefault="00427EDB" w:rsidP="00427EDB">
      <w:pPr>
        <w:rPr>
          <w:u w:val="single"/>
        </w:rPr>
      </w:pPr>
    </w:p>
    <w:p w14:paraId="34F046C2" w14:textId="2F752F53" w:rsidR="00427EDB" w:rsidRDefault="00A61FCE" w:rsidP="00427EDB">
      <w:pPr>
        <w:jc w:val="center"/>
        <w:rPr>
          <w:u w:val="single"/>
        </w:rPr>
      </w:pPr>
      <w:r>
        <w:rPr>
          <w:noProof/>
          <w:u w:val="single"/>
        </w:rPr>
        <w:drawing>
          <wp:inline distT="0" distB="0" distL="0" distR="0" wp14:anchorId="344247D7" wp14:editId="3DA54444">
            <wp:extent cx="5374800" cy="3484800"/>
            <wp:effectExtent l="0" t="0" r="0" b="190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74800" cy="3484800"/>
                    </a:xfrm>
                    <a:prstGeom prst="rect">
                      <a:avLst/>
                    </a:prstGeom>
                    <a:noFill/>
                    <a:ln>
                      <a:noFill/>
                    </a:ln>
                  </pic:spPr>
                </pic:pic>
              </a:graphicData>
            </a:graphic>
          </wp:inline>
        </w:drawing>
      </w:r>
    </w:p>
    <w:p w14:paraId="578F154A" w14:textId="77777777" w:rsidR="007E6F2B" w:rsidRDefault="007E6F2B" w:rsidP="00427EDB">
      <w:pPr>
        <w:jc w:val="center"/>
        <w:rPr>
          <w:u w:val="single"/>
        </w:rPr>
      </w:pPr>
    </w:p>
    <w:p w14:paraId="2730A428" w14:textId="77777777" w:rsidR="007E6F2B" w:rsidRDefault="007E6F2B" w:rsidP="00427EDB">
      <w:pPr>
        <w:jc w:val="center"/>
        <w:rPr>
          <w:u w:val="single"/>
        </w:rPr>
      </w:pPr>
    </w:p>
    <w:p w14:paraId="10165811" w14:textId="77777777" w:rsidR="007E6F2B" w:rsidRDefault="007E6F2B" w:rsidP="00427EDB">
      <w:pPr>
        <w:jc w:val="center"/>
        <w:rPr>
          <w:u w:val="single"/>
        </w:rPr>
      </w:pPr>
    </w:p>
    <w:p w14:paraId="65B0D7F9" w14:textId="77777777" w:rsidR="00427EDB" w:rsidRDefault="00427EDB" w:rsidP="00427EDB">
      <w:pPr>
        <w:rPr>
          <w:u w:val="single"/>
        </w:rPr>
      </w:pPr>
    </w:p>
    <w:p w14:paraId="4C5A6B6F" w14:textId="5220FCDC" w:rsidR="00427EDB" w:rsidRDefault="00427EDB" w:rsidP="00427EDB">
      <w:pPr>
        <w:pStyle w:val="Paragraphedeliste"/>
        <w:numPr>
          <w:ilvl w:val="1"/>
          <w:numId w:val="9"/>
        </w:numPr>
        <w:jc w:val="both"/>
        <w:rPr>
          <w:u w:val="single"/>
        </w:rPr>
      </w:pPr>
      <w:r>
        <w:rPr>
          <w:u w:val="single"/>
        </w:rPr>
        <w:t>Extension du phénomène</w:t>
      </w:r>
    </w:p>
    <w:p w14:paraId="43D86474" w14:textId="77777777" w:rsidR="00427EDB" w:rsidRDefault="00427EDB" w:rsidP="00427EDB">
      <w:pPr>
        <w:rPr>
          <w:u w:val="single"/>
        </w:rPr>
      </w:pPr>
    </w:p>
    <w:p w14:paraId="5F929BE4" w14:textId="3A4C3E8C" w:rsidR="00427EDB" w:rsidRDefault="00427EDB" w:rsidP="0061373B">
      <w:pPr>
        <w:jc w:val="both"/>
      </w:pPr>
      <w:r w:rsidRPr="006203AF">
        <w:t xml:space="preserve">Le plan </w:t>
      </w:r>
      <w:r>
        <w:t>« Cumul depuis le 17 avril 2014 » précise les repères concernés par un mouvement significatif, qu’il soit de surrection (vertical DZ) ou de translation (horizontal DXY) entre le 17 avril et le 2</w:t>
      </w:r>
      <w:r w:rsidR="00A323D5">
        <w:t>7</w:t>
      </w:r>
      <w:r>
        <w:t xml:space="preserve"> </w:t>
      </w:r>
      <w:r w:rsidR="007A3802">
        <w:t>nov</w:t>
      </w:r>
      <w:r>
        <w:t>embre 2014. Il définit la zone actuelle de mouvement. Le plan</w:t>
      </w:r>
      <w:r w:rsidRPr="00A8003B">
        <w:t xml:space="preserve"> </w:t>
      </w:r>
      <w:r>
        <w:t>« Cumul depuis le 03 mars 2013 » permet de délimiter</w:t>
      </w:r>
      <w:r w:rsidRPr="00D4353D">
        <w:t xml:space="preserve"> </w:t>
      </w:r>
      <w:r>
        <w:t xml:space="preserve">la zone impactée par des mouvements du sol depuis la première campagne de mesure. </w:t>
      </w:r>
    </w:p>
    <w:p w14:paraId="16736D4C" w14:textId="4B3E5159" w:rsidR="00427EDB" w:rsidRDefault="00427EDB" w:rsidP="0061373B">
      <w:pPr>
        <w:jc w:val="both"/>
      </w:pPr>
      <w:r>
        <w:t xml:space="preserve">Les résultats de la campagne de </w:t>
      </w:r>
      <w:r w:rsidR="007A3802">
        <w:t>nov</w:t>
      </w:r>
      <w:r>
        <w:t>embre 2014 confirment les observations faites lors de</w:t>
      </w:r>
      <w:r w:rsidR="007A3802">
        <w:t>s</w:t>
      </w:r>
      <w:r>
        <w:t xml:space="preserve"> campagne</w:t>
      </w:r>
      <w:r w:rsidR="007A3802">
        <w:t>s précédentes</w:t>
      </w:r>
      <w:r>
        <w:t>. On constate que la zone actuelle de mouvement s’inscrit totalement dans la zone</w:t>
      </w:r>
      <w:r w:rsidR="002E0CB6">
        <w:t xml:space="preserve"> déjà</w:t>
      </w:r>
      <w:r>
        <w:t xml:space="preserve"> impactée.</w:t>
      </w:r>
    </w:p>
    <w:p w14:paraId="6534AC90" w14:textId="1F723395" w:rsidR="00427EDB" w:rsidRPr="006203AF" w:rsidRDefault="00427EDB" w:rsidP="0061373B">
      <w:pPr>
        <w:jc w:val="both"/>
      </w:pPr>
      <w:r>
        <w:t>Compte tenu de ce qui précède, on peut considérer qu’au 2</w:t>
      </w:r>
      <w:r w:rsidR="00A323D5">
        <w:t>7</w:t>
      </w:r>
      <w:r>
        <w:t xml:space="preserve"> </w:t>
      </w:r>
      <w:r w:rsidR="007A3802">
        <w:t>nov</w:t>
      </w:r>
      <w:r>
        <w:t xml:space="preserve">embre 2014, date de la dernière campagne de mesure, aucune extension du phénomène n’est observée. </w:t>
      </w:r>
    </w:p>
    <w:p w14:paraId="30CCF3BE" w14:textId="77777777" w:rsidR="00427EDB" w:rsidRDefault="00427EDB" w:rsidP="00427EDB"/>
    <w:p w14:paraId="59696051" w14:textId="6531F887" w:rsidR="00427EDB" w:rsidRPr="007E6F2B" w:rsidRDefault="007E6F2B" w:rsidP="007E6F2B">
      <w:pPr>
        <w:pStyle w:val="Paragraphedeliste"/>
        <w:numPr>
          <w:ilvl w:val="1"/>
          <w:numId w:val="9"/>
        </w:numPr>
        <w:jc w:val="both"/>
        <w:rPr>
          <w:u w:val="single"/>
        </w:rPr>
      </w:pPr>
      <w:r w:rsidRPr="007E6F2B">
        <w:rPr>
          <w:u w:val="single"/>
        </w:rPr>
        <w:t>Plans et mesures</w:t>
      </w:r>
    </w:p>
    <w:p w14:paraId="2A2A0E6E" w14:textId="77777777" w:rsidR="00355220" w:rsidRDefault="00355220">
      <w:pPr>
        <w:rPr>
          <w:sz w:val="24"/>
        </w:rPr>
      </w:pPr>
    </w:p>
    <w:p w14:paraId="41A3322E" w14:textId="7372DBFB" w:rsidR="007E6F2B" w:rsidRPr="00C12D4F" w:rsidRDefault="007E6F2B" w:rsidP="0061373B">
      <w:pPr>
        <w:jc w:val="both"/>
        <w:rPr>
          <w:sz w:val="24"/>
        </w:rPr>
      </w:pPr>
      <w:r>
        <w:rPr>
          <w:sz w:val="24"/>
        </w:rPr>
        <w:t>Les plans et le fichier des mesures réalisées le 2</w:t>
      </w:r>
      <w:r w:rsidR="000D19A8">
        <w:rPr>
          <w:sz w:val="24"/>
        </w:rPr>
        <w:t>7</w:t>
      </w:r>
      <w:r>
        <w:rPr>
          <w:sz w:val="24"/>
        </w:rPr>
        <w:t>/</w:t>
      </w:r>
      <w:r w:rsidR="007A3802">
        <w:rPr>
          <w:sz w:val="24"/>
        </w:rPr>
        <w:t>11</w:t>
      </w:r>
      <w:r>
        <w:rPr>
          <w:sz w:val="24"/>
        </w:rPr>
        <w:t>/2014 sont fournis en annexes.</w:t>
      </w:r>
    </w:p>
    <w:p w14:paraId="0AA88D33" w14:textId="77777777" w:rsidR="00355220" w:rsidRDefault="00355220"/>
    <w:p w14:paraId="5D7508E0" w14:textId="1A2406A7" w:rsidR="000D19A8" w:rsidRDefault="000D19A8" w:rsidP="000D19A8">
      <w:pPr>
        <w:pStyle w:val="Paragraphedeliste"/>
        <w:numPr>
          <w:ilvl w:val="1"/>
          <w:numId w:val="9"/>
        </w:numPr>
        <w:jc w:val="both"/>
        <w:rPr>
          <w:u w:val="single"/>
        </w:rPr>
      </w:pPr>
      <w:r>
        <w:rPr>
          <w:u w:val="single"/>
        </w:rPr>
        <w:t>Conclusion</w:t>
      </w:r>
    </w:p>
    <w:p w14:paraId="430E6420" w14:textId="77777777" w:rsidR="000D19A8" w:rsidRDefault="000D19A8" w:rsidP="000D19A8">
      <w:pPr>
        <w:pStyle w:val="Paragraphedeliste"/>
        <w:ind w:left="1440"/>
        <w:jc w:val="both"/>
        <w:rPr>
          <w:u w:val="single"/>
        </w:rPr>
      </w:pPr>
    </w:p>
    <w:p w14:paraId="73200523" w14:textId="63F77122" w:rsidR="000D19A8" w:rsidRDefault="000D19A8" w:rsidP="000D19A8">
      <w:pPr>
        <w:pStyle w:val="Paragraphedeliste"/>
        <w:ind w:left="0"/>
        <w:jc w:val="both"/>
      </w:pPr>
      <w:r w:rsidRPr="000D19A8">
        <w:t>Les résultats du levé topographique (altitudes et planimétrie) de la campagne du 27</w:t>
      </w:r>
      <w:r>
        <w:t xml:space="preserve"> </w:t>
      </w:r>
      <w:r w:rsidRPr="000D19A8">
        <w:t>novembre 2014</w:t>
      </w:r>
      <w:r>
        <w:t xml:space="preserve"> indiquent :</w:t>
      </w:r>
    </w:p>
    <w:p w14:paraId="6AEB67BB" w14:textId="334F9375" w:rsidR="000D19A8" w:rsidRDefault="000D19A8" w:rsidP="000D19A8">
      <w:pPr>
        <w:pStyle w:val="Paragraphedeliste"/>
        <w:numPr>
          <w:ilvl w:val="0"/>
          <w:numId w:val="11"/>
        </w:numPr>
        <w:jc w:val="both"/>
      </w:pPr>
      <w:r>
        <w:t>Une poursuite des mouvemen</w:t>
      </w:r>
      <w:r w:rsidR="00E85FD7">
        <w:t xml:space="preserve">ts de surrection du sol </w:t>
      </w:r>
      <w:r w:rsidR="0061373B">
        <w:t xml:space="preserve">comme le montrent </w:t>
      </w:r>
      <w:r w:rsidR="00E85FD7">
        <w:t xml:space="preserve">les repères </w:t>
      </w:r>
      <w:r w:rsidR="0061373B">
        <w:t xml:space="preserve">les plus significatifs </w:t>
      </w:r>
      <w:r w:rsidR="00E85FD7">
        <w:t>R1021, R1024, R1036 et R1022</w:t>
      </w:r>
      <w:r w:rsidR="00C76CCE">
        <w:t xml:space="preserve">. On note </w:t>
      </w:r>
      <w:r w:rsidR="00E02851">
        <w:t>que</w:t>
      </w:r>
      <w:r w:rsidR="00C76CCE">
        <w:t xml:space="preserve"> la vitesse</w:t>
      </w:r>
      <w:r w:rsidR="00E02851">
        <w:t xml:space="preserve"> maximale de surrection se situe</w:t>
      </w:r>
      <w:r w:rsidR="00C76CCE">
        <w:t xml:space="preserve"> aux alentours de 1,5 cm par mois. On rappellera qu’elle atteignait 3 cm au printemps 2013. </w:t>
      </w:r>
      <w:r w:rsidR="004D7D15">
        <w:t xml:space="preserve">La valeur maximale </w:t>
      </w:r>
      <w:r w:rsidR="002E0CB6">
        <w:t xml:space="preserve">de surrection </w:t>
      </w:r>
      <w:r w:rsidR="00E02851">
        <w:t xml:space="preserve">(repère R1021) </w:t>
      </w:r>
      <w:r w:rsidR="004D7D15">
        <w:t>est de + 41 cm en référence au levé du 7 mars 2013 et de + 11,5 cm</w:t>
      </w:r>
      <w:r w:rsidR="004D7D15" w:rsidRPr="004D7D15">
        <w:t xml:space="preserve"> </w:t>
      </w:r>
      <w:r w:rsidR="004D7D15">
        <w:t>en référence au levé du 17 avril 2014,</w:t>
      </w:r>
    </w:p>
    <w:p w14:paraId="3923D527" w14:textId="0BBD0F6C" w:rsidR="004D7D15" w:rsidRDefault="004D7D15" w:rsidP="004D7D15">
      <w:pPr>
        <w:pStyle w:val="Paragraphedeliste"/>
        <w:numPr>
          <w:ilvl w:val="0"/>
          <w:numId w:val="11"/>
        </w:numPr>
        <w:jc w:val="both"/>
      </w:pPr>
      <w:r>
        <w:t>Une poursuite des déplacements horizontaux avec une valeur maximale</w:t>
      </w:r>
      <w:r w:rsidR="00E02851">
        <w:t xml:space="preserve"> (repère R1024) </w:t>
      </w:r>
      <w:r>
        <w:t xml:space="preserve"> de 25.6 cm en référence au levé du 7 mars 2013 et de 8 cm</w:t>
      </w:r>
      <w:r w:rsidRPr="004D7D15">
        <w:t xml:space="preserve"> </w:t>
      </w:r>
      <w:r>
        <w:t xml:space="preserve">en référence au levé du 17 avril 2014 </w:t>
      </w:r>
      <w:r w:rsidR="00FA3589">
        <w:t>selon un même azimut</w:t>
      </w:r>
      <w:r>
        <w:t xml:space="preserve"> (ouest à sud-ouest),</w:t>
      </w:r>
    </w:p>
    <w:p w14:paraId="2F5C1F6E" w14:textId="6099F163" w:rsidR="00C76CCE" w:rsidRPr="000D19A8" w:rsidRDefault="004D7D15" w:rsidP="004D7D15">
      <w:pPr>
        <w:pStyle w:val="Paragraphedeliste"/>
        <w:numPr>
          <w:ilvl w:val="0"/>
          <w:numId w:val="11"/>
        </w:numPr>
        <w:jc w:val="both"/>
      </w:pPr>
      <w:r>
        <w:t>Aucune extension du phénomène</w:t>
      </w:r>
      <w:r w:rsidR="00E02851">
        <w:t xml:space="preserve"> à cette date</w:t>
      </w:r>
      <w:r>
        <w:t>.</w:t>
      </w:r>
    </w:p>
    <w:p w14:paraId="0BB31BF0" w14:textId="77777777" w:rsidR="00355220" w:rsidRDefault="00355220"/>
    <w:p w14:paraId="7F58D10D" w14:textId="77777777" w:rsidR="002E0CB6" w:rsidRDefault="002E0CB6"/>
    <w:sectPr w:rsidR="002E0CB6">
      <w:footerReference w:type="default" r:id="rId17"/>
      <w:headerReference w:type="first" r:id="rId18"/>
      <w:footerReference w:type="first" r:id="rId19"/>
      <w:pgSz w:w="11906" w:h="16838" w:code="9"/>
      <w:pgMar w:top="2239" w:right="1418" w:bottom="1418" w:left="1418"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419EE" w14:textId="77777777" w:rsidR="00FA3589" w:rsidRDefault="00FA3589">
      <w:r>
        <w:separator/>
      </w:r>
    </w:p>
  </w:endnote>
  <w:endnote w:type="continuationSeparator" w:id="0">
    <w:p w14:paraId="16A22375" w14:textId="77777777" w:rsidR="00FA3589" w:rsidRDefault="00FA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256CA" w14:textId="77777777" w:rsidR="00FA3589" w:rsidRDefault="00FA3589">
    <w:pPr>
      <w:pStyle w:val="Pieddepage"/>
      <w:tabs>
        <w:tab w:val="clear" w:pos="4536"/>
      </w:tabs>
    </w:pPr>
    <w:r>
      <w:tab/>
    </w:r>
    <w:r>
      <w:rPr>
        <w:rStyle w:val="Numrodepage"/>
      </w:rPr>
      <w:fldChar w:fldCharType="begin"/>
    </w:r>
    <w:r>
      <w:rPr>
        <w:rStyle w:val="Numrodepage"/>
      </w:rPr>
      <w:instrText xml:space="preserve"> PAGE </w:instrText>
    </w:r>
    <w:r>
      <w:rPr>
        <w:rStyle w:val="Numrodepage"/>
      </w:rPr>
      <w:fldChar w:fldCharType="separate"/>
    </w:r>
    <w:r w:rsidR="00F81D01">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81D01">
      <w:rPr>
        <w:rStyle w:val="Numrodepage"/>
        <w:noProof/>
      </w:rPr>
      <w:t>5</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EC9A7" w14:textId="4B871C7F" w:rsidR="00FA3589" w:rsidRDefault="00FA3589">
    <w:pPr>
      <w:pStyle w:val="Pieddepage"/>
      <w:tabs>
        <w:tab w:val="clear" w:pos="4536"/>
      </w:tabs>
      <w:rPr>
        <w:rStyle w:val="Numrodepage"/>
        <w:sz w:val="16"/>
      </w:rPr>
    </w:pPr>
    <w:r>
      <w:rPr>
        <w:rStyle w:val="Numrodepage"/>
        <w:sz w:val="16"/>
      </w:rPr>
      <w:t>IM 192 (8/07/2013)</w:t>
    </w:r>
  </w:p>
  <w:p w14:paraId="59FB093F" w14:textId="77777777" w:rsidR="00FA3589" w:rsidRDefault="00FA3589">
    <w:pPr>
      <w:pStyle w:val="Pieddepage"/>
      <w:tabs>
        <w:tab w:val="clear" w:pos="4536"/>
      </w:tabs>
    </w:pPr>
    <w:r>
      <w:rPr>
        <w:rStyle w:val="Numrodepage"/>
      </w:rPr>
      <w:tab/>
    </w:r>
    <w:r>
      <w:rPr>
        <w:rStyle w:val="Numrodepage"/>
      </w:rPr>
      <w:fldChar w:fldCharType="begin"/>
    </w:r>
    <w:r>
      <w:rPr>
        <w:rStyle w:val="Numrodepage"/>
      </w:rPr>
      <w:instrText xml:space="preserve"> PAGE </w:instrText>
    </w:r>
    <w:r>
      <w:rPr>
        <w:rStyle w:val="Numrodepage"/>
      </w:rPr>
      <w:fldChar w:fldCharType="separate"/>
    </w:r>
    <w:r w:rsidR="00F81D01">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81D01">
      <w:rPr>
        <w:rStyle w:val="Numrodepage"/>
        <w:noProof/>
      </w:rPr>
      <w:t>5</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34884" w14:textId="77777777" w:rsidR="00FA3589" w:rsidRDefault="00FA3589">
      <w:r>
        <w:separator/>
      </w:r>
    </w:p>
  </w:footnote>
  <w:footnote w:type="continuationSeparator" w:id="0">
    <w:p w14:paraId="355F9751" w14:textId="77777777" w:rsidR="00FA3589" w:rsidRDefault="00FA3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A15BE" w14:textId="77777777" w:rsidR="00FA3589" w:rsidRDefault="00F81D01">
    <w:pPr>
      <w:pStyle w:val="En-tte"/>
      <w:tabs>
        <w:tab w:val="clear" w:pos="4536"/>
      </w:tabs>
    </w:pPr>
    <w:r>
      <w:rPr>
        <w:noProof/>
      </w:rPr>
      <w:pict w14:anchorId="02B8B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28.35pt;width:137.7pt;height:46.75pt;z-index:251657728;visibility:visible;mso-wrap-edited:f;mso-position-horizontal-relative:page;mso-position-vertical-relative:page" o:allowincell="f">
          <v:imagedata r:id="rId1" o:title=""/>
          <w10:wrap type="topAndBottom" anchorx="page" anchory="page"/>
        </v:shape>
        <o:OLEObject Type="Embed" ProgID="Word.Picture.8" ShapeID="_x0000_s2049" DrawAspect="Content" ObjectID="_1480854658" r:id="rId2"/>
      </w:pict>
    </w:r>
    <w:r w:rsidR="00FA3589">
      <w:t xml:space="preserve"> </w:t>
    </w:r>
  </w:p>
  <w:p w14:paraId="2CE12085" w14:textId="77777777" w:rsidR="00FA3589" w:rsidRDefault="00FA3589">
    <w:pPr>
      <w:pStyle w:val="En-tte"/>
    </w:pPr>
  </w:p>
  <w:p w14:paraId="53A969F4" w14:textId="77777777" w:rsidR="00FA3589" w:rsidRDefault="00FA358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6860"/>
    <w:multiLevelType w:val="singleLevel"/>
    <w:tmpl w:val="040C000F"/>
    <w:lvl w:ilvl="0">
      <w:start w:val="1"/>
      <w:numFmt w:val="decimal"/>
      <w:lvlText w:val="%1."/>
      <w:lvlJc w:val="left"/>
      <w:pPr>
        <w:tabs>
          <w:tab w:val="num" w:pos="360"/>
        </w:tabs>
        <w:ind w:left="360" w:hanging="360"/>
      </w:pPr>
      <w:rPr>
        <w:rFonts w:hint="default"/>
      </w:rPr>
    </w:lvl>
  </w:abstractNum>
  <w:abstractNum w:abstractNumId="1">
    <w:nsid w:val="264264C2"/>
    <w:multiLevelType w:val="singleLevel"/>
    <w:tmpl w:val="040C000F"/>
    <w:lvl w:ilvl="0">
      <w:start w:val="1"/>
      <w:numFmt w:val="decimal"/>
      <w:lvlText w:val="%1."/>
      <w:lvlJc w:val="left"/>
      <w:pPr>
        <w:tabs>
          <w:tab w:val="num" w:pos="360"/>
        </w:tabs>
        <w:ind w:left="360" w:hanging="360"/>
      </w:pPr>
    </w:lvl>
  </w:abstractNum>
  <w:abstractNum w:abstractNumId="2">
    <w:nsid w:val="2BF460FB"/>
    <w:multiLevelType w:val="singleLevel"/>
    <w:tmpl w:val="040C000F"/>
    <w:lvl w:ilvl="0">
      <w:start w:val="1"/>
      <w:numFmt w:val="decimal"/>
      <w:lvlText w:val="%1."/>
      <w:lvlJc w:val="left"/>
      <w:pPr>
        <w:tabs>
          <w:tab w:val="num" w:pos="360"/>
        </w:tabs>
        <w:ind w:left="360" w:hanging="360"/>
      </w:pPr>
    </w:lvl>
  </w:abstractNum>
  <w:abstractNum w:abstractNumId="3">
    <w:nsid w:val="2D8868FE"/>
    <w:multiLevelType w:val="singleLevel"/>
    <w:tmpl w:val="040C000F"/>
    <w:lvl w:ilvl="0">
      <w:start w:val="1"/>
      <w:numFmt w:val="decimal"/>
      <w:lvlText w:val="%1."/>
      <w:lvlJc w:val="left"/>
      <w:pPr>
        <w:tabs>
          <w:tab w:val="num" w:pos="360"/>
        </w:tabs>
        <w:ind w:left="360" w:hanging="360"/>
      </w:pPr>
    </w:lvl>
  </w:abstractNum>
  <w:abstractNum w:abstractNumId="4">
    <w:nsid w:val="35A06675"/>
    <w:multiLevelType w:val="hybridMultilevel"/>
    <w:tmpl w:val="BA2CD95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499E70BC"/>
    <w:multiLevelType w:val="singleLevel"/>
    <w:tmpl w:val="040C000F"/>
    <w:lvl w:ilvl="0">
      <w:start w:val="1"/>
      <w:numFmt w:val="decimal"/>
      <w:lvlText w:val="%1."/>
      <w:lvlJc w:val="left"/>
      <w:pPr>
        <w:tabs>
          <w:tab w:val="num" w:pos="360"/>
        </w:tabs>
        <w:ind w:left="360" w:hanging="360"/>
      </w:pPr>
    </w:lvl>
  </w:abstractNum>
  <w:abstractNum w:abstractNumId="6">
    <w:nsid w:val="4DAF702D"/>
    <w:multiLevelType w:val="singleLevel"/>
    <w:tmpl w:val="040C000F"/>
    <w:lvl w:ilvl="0">
      <w:start w:val="1"/>
      <w:numFmt w:val="decimal"/>
      <w:lvlText w:val="%1."/>
      <w:lvlJc w:val="left"/>
      <w:pPr>
        <w:tabs>
          <w:tab w:val="num" w:pos="360"/>
        </w:tabs>
        <w:ind w:left="360" w:hanging="360"/>
      </w:pPr>
    </w:lvl>
  </w:abstractNum>
  <w:abstractNum w:abstractNumId="7">
    <w:nsid w:val="59B70CF5"/>
    <w:multiLevelType w:val="singleLevel"/>
    <w:tmpl w:val="040C000F"/>
    <w:lvl w:ilvl="0">
      <w:start w:val="1"/>
      <w:numFmt w:val="decimal"/>
      <w:lvlText w:val="%1."/>
      <w:lvlJc w:val="left"/>
      <w:pPr>
        <w:tabs>
          <w:tab w:val="num" w:pos="360"/>
        </w:tabs>
        <w:ind w:left="360" w:hanging="360"/>
      </w:pPr>
    </w:lvl>
  </w:abstractNum>
  <w:abstractNum w:abstractNumId="8">
    <w:nsid w:val="6C844D08"/>
    <w:multiLevelType w:val="hybridMultilevel"/>
    <w:tmpl w:val="067C02DE"/>
    <w:lvl w:ilvl="0" w:tplc="2174E2B0">
      <w:start w:val="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34F666C"/>
    <w:multiLevelType w:val="hybridMultilevel"/>
    <w:tmpl w:val="F2A8E18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7966070C"/>
    <w:multiLevelType w:val="hybridMultilevel"/>
    <w:tmpl w:val="F3CA20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6"/>
  </w:num>
  <w:num w:numId="5">
    <w:abstractNumId w:val="5"/>
  </w:num>
  <w:num w:numId="6">
    <w:abstractNumId w:val="3"/>
  </w:num>
  <w:num w:numId="7">
    <w:abstractNumId w:val="1"/>
  </w:num>
  <w:num w:numId="8">
    <w:abstractNumId w:val="10"/>
  </w:num>
  <w:num w:numId="9">
    <w:abstractNumId w:val="9"/>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220"/>
    <w:rsid w:val="000768A5"/>
    <w:rsid w:val="000C4F0C"/>
    <w:rsid w:val="000D19A8"/>
    <w:rsid w:val="000F2FC7"/>
    <w:rsid w:val="002E0CB6"/>
    <w:rsid w:val="002F14C4"/>
    <w:rsid w:val="002F4AFE"/>
    <w:rsid w:val="003350D3"/>
    <w:rsid w:val="00355220"/>
    <w:rsid w:val="003B2194"/>
    <w:rsid w:val="003F0006"/>
    <w:rsid w:val="00413000"/>
    <w:rsid w:val="00427EDB"/>
    <w:rsid w:val="004A12B1"/>
    <w:rsid w:val="004D7D15"/>
    <w:rsid w:val="006075CF"/>
    <w:rsid w:val="0061373B"/>
    <w:rsid w:val="006B20F9"/>
    <w:rsid w:val="007A3802"/>
    <w:rsid w:val="007E6F2B"/>
    <w:rsid w:val="0089643E"/>
    <w:rsid w:val="00963C9F"/>
    <w:rsid w:val="009C3153"/>
    <w:rsid w:val="00A323D5"/>
    <w:rsid w:val="00A609C7"/>
    <w:rsid w:val="00A61FCE"/>
    <w:rsid w:val="00A93EF2"/>
    <w:rsid w:val="00AA23F8"/>
    <w:rsid w:val="00AD59A1"/>
    <w:rsid w:val="00C12D4F"/>
    <w:rsid w:val="00C76CCE"/>
    <w:rsid w:val="00CE7893"/>
    <w:rsid w:val="00CF2C72"/>
    <w:rsid w:val="00CF2FEC"/>
    <w:rsid w:val="00D16A12"/>
    <w:rsid w:val="00E02851"/>
    <w:rsid w:val="00E11595"/>
    <w:rsid w:val="00E85FD7"/>
    <w:rsid w:val="00EC6F4E"/>
    <w:rsid w:val="00EF5820"/>
    <w:rsid w:val="00F81D01"/>
    <w:rsid w:val="00F91E0B"/>
    <w:rsid w:val="00FA3589"/>
    <w:rsid w:val="00FB7D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9880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paragraph" w:styleId="Titre1">
    <w:name w:val="heading 1"/>
    <w:basedOn w:val="Normal"/>
    <w:next w:val="Normal"/>
    <w:qFormat/>
    <w:pPr>
      <w:keepNext/>
      <w:spacing w:before="120" w:after="120"/>
      <w:jc w:val="center"/>
      <w:outlineLvl w:val="0"/>
    </w:pPr>
    <w:rPr>
      <w:b/>
    </w:rPr>
  </w:style>
  <w:style w:type="paragraph" w:styleId="Titre2">
    <w:name w:val="heading 2"/>
    <w:basedOn w:val="Normal"/>
    <w:next w:val="Normal"/>
    <w:link w:val="Titre2Car"/>
    <w:semiHidden/>
    <w:unhideWhenUsed/>
    <w:qFormat/>
    <w:rsid w:val="00A609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Pr>
      <w:rFonts w:ascii="Arial" w:hAnsi="Arial"/>
      <w:sz w:val="22"/>
    </w:rPr>
  </w:style>
  <w:style w:type="character" w:customStyle="1" w:styleId="Titre2Car">
    <w:name w:val="Titre 2 Car"/>
    <w:basedOn w:val="Policepardfaut"/>
    <w:link w:val="Titre2"/>
    <w:semiHidden/>
    <w:rsid w:val="00A609C7"/>
    <w:rPr>
      <w:rFonts w:asciiTheme="majorHAnsi" w:eastAsiaTheme="majorEastAsia" w:hAnsiTheme="majorHAnsi" w:cstheme="majorBidi"/>
      <w:b/>
      <w:bCs/>
      <w:color w:val="4F81BD" w:themeColor="accent1"/>
      <w:sz w:val="26"/>
      <w:szCs w:val="26"/>
    </w:rPr>
  </w:style>
  <w:style w:type="table" w:styleId="Grilledutableau">
    <w:name w:val="Table Grid"/>
    <w:basedOn w:val="TableauNormal"/>
    <w:uiPriority w:val="59"/>
    <w:rsid w:val="00427ED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427EDB"/>
    <w:rPr>
      <w:rFonts w:ascii="Tahoma" w:hAnsi="Tahoma" w:cs="Tahoma"/>
      <w:sz w:val="16"/>
      <w:szCs w:val="16"/>
    </w:rPr>
  </w:style>
  <w:style w:type="character" w:customStyle="1" w:styleId="TextedebullesCar">
    <w:name w:val="Texte de bulles Car"/>
    <w:basedOn w:val="Policepardfaut"/>
    <w:link w:val="Textedebulles"/>
    <w:rsid w:val="00427EDB"/>
    <w:rPr>
      <w:rFonts w:ascii="Tahoma" w:hAnsi="Tahoma" w:cs="Tahoma"/>
      <w:sz w:val="16"/>
      <w:szCs w:val="16"/>
    </w:rPr>
  </w:style>
  <w:style w:type="paragraph" w:styleId="Paragraphedeliste">
    <w:name w:val="List Paragraph"/>
    <w:basedOn w:val="Normal"/>
    <w:uiPriority w:val="34"/>
    <w:qFormat/>
    <w:rsid w:val="00427EDB"/>
    <w:pPr>
      <w:ind w:left="720"/>
      <w:contextualSpacing/>
    </w:pPr>
  </w:style>
  <w:style w:type="character" w:styleId="Marquedecommentaire">
    <w:name w:val="annotation reference"/>
    <w:basedOn w:val="Policepardfaut"/>
    <w:rsid w:val="002E0CB6"/>
    <w:rPr>
      <w:sz w:val="16"/>
      <w:szCs w:val="16"/>
    </w:rPr>
  </w:style>
  <w:style w:type="paragraph" w:styleId="Commentaire">
    <w:name w:val="annotation text"/>
    <w:basedOn w:val="Normal"/>
    <w:link w:val="CommentaireCar"/>
    <w:rsid w:val="002E0CB6"/>
    <w:rPr>
      <w:sz w:val="20"/>
    </w:rPr>
  </w:style>
  <w:style w:type="character" w:customStyle="1" w:styleId="CommentaireCar">
    <w:name w:val="Commentaire Car"/>
    <w:basedOn w:val="Policepardfaut"/>
    <w:link w:val="Commentaire"/>
    <w:rsid w:val="002E0CB6"/>
    <w:rPr>
      <w:rFonts w:ascii="Arial" w:hAnsi="Arial"/>
    </w:rPr>
  </w:style>
  <w:style w:type="paragraph" w:styleId="Objetducommentaire">
    <w:name w:val="annotation subject"/>
    <w:basedOn w:val="Commentaire"/>
    <w:next w:val="Commentaire"/>
    <w:link w:val="ObjetducommentaireCar"/>
    <w:rsid w:val="002E0CB6"/>
    <w:rPr>
      <w:b/>
      <w:bCs/>
    </w:rPr>
  </w:style>
  <w:style w:type="character" w:customStyle="1" w:styleId="ObjetducommentaireCar">
    <w:name w:val="Objet du commentaire Car"/>
    <w:basedOn w:val="CommentaireCar"/>
    <w:link w:val="Objetducommentaire"/>
    <w:rsid w:val="002E0CB6"/>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paragraph" w:styleId="Titre1">
    <w:name w:val="heading 1"/>
    <w:basedOn w:val="Normal"/>
    <w:next w:val="Normal"/>
    <w:qFormat/>
    <w:pPr>
      <w:keepNext/>
      <w:spacing w:before="120" w:after="120"/>
      <w:jc w:val="center"/>
      <w:outlineLvl w:val="0"/>
    </w:pPr>
    <w:rPr>
      <w:b/>
    </w:rPr>
  </w:style>
  <w:style w:type="paragraph" w:styleId="Titre2">
    <w:name w:val="heading 2"/>
    <w:basedOn w:val="Normal"/>
    <w:next w:val="Normal"/>
    <w:link w:val="Titre2Car"/>
    <w:semiHidden/>
    <w:unhideWhenUsed/>
    <w:qFormat/>
    <w:rsid w:val="00A609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Pr>
      <w:rFonts w:ascii="Arial" w:hAnsi="Arial"/>
      <w:sz w:val="22"/>
    </w:rPr>
  </w:style>
  <w:style w:type="character" w:customStyle="1" w:styleId="Titre2Car">
    <w:name w:val="Titre 2 Car"/>
    <w:basedOn w:val="Policepardfaut"/>
    <w:link w:val="Titre2"/>
    <w:semiHidden/>
    <w:rsid w:val="00A609C7"/>
    <w:rPr>
      <w:rFonts w:asciiTheme="majorHAnsi" w:eastAsiaTheme="majorEastAsia" w:hAnsiTheme="majorHAnsi" w:cstheme="majorBidi"/>
      <w:b/>
      <w:bCs/>
      <w:color w:val="4F81BD" w:themeColor="accent1"/>
      <w:sz w:val="26"/>
      <w:szCs w:val="26"/>
    </w:rPr>
  </w:style>
  <w:style w:type="table" w:styleId="Grilledutableau">
    <w:name w:val="Table Grid"/>
    <w:basedOn w:val="TableauNormal"/>
    <w:uiPriority w:val="59"/>
    <w:rsid w:val="00427ED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427EDB"/>
    <w:rPr>
      <w:rFonts w:ascii="Tahoma" w:hAnsi="Tahoma" w:cs="Tahoma"/>
      <w:sz w:val="16"/>
      <w:szCs w:val="16"/>
    </w:rPr>
  </w:style>
  <w:style w:type="character" w:customStyle="1" w:styleId="TextedebullesCar">
    <w:name w:val="Texte de bulles Car"/>
    <w:basedOn w:val="Policepardfaut"/>
    <w:link w:val="Textedebulles"/>
    <w:rsid w:val="00427EDB"/>
    <w:rPr>
      <w:rFonts w:ascii="Tahoma" w:hAnsi="Tahoma" w:cs="Tahoma"/>
      <w:sz w:val="16"/>
      <w:szCs w:val="16"/>
    </w:rPr>
  </w:style>
  <w:style w:type="paragraph" w:styleId="Paragraphedeliste">
    <w:name w:val="List Paragraph"/>
    <w:basedOn w:val="Normal"/>
    <w:uiPriority w:val="34"/>
    <w:qFormat/>
    <w:rsid w:val="00427EDB"/>
    <w:pPr>
      <w:ind w:left="720"/>
      <w:contextualSpacing/>
    </w:pPr>
  </w:style>
  <w:style w:type="character" w:styleId="Marquedecommentaire">
    <w:name w:val="annotation reference"/>
    <w:basedOn w:val="Policepardfaut"/>
    <w:rsid w:val="002E0CB6"/>
    <w:rPr>
      <w:sz w:val="16"/>
      <w:szCs w:val="16"/>
    </w:rPr>
  </w:style>
  <w:style w:type="paragraph" w:styleId="Commentaire">
    <w:name w:val="annotation text"/>
    <w:basedOn w:val="Normal"/>
    <w:link w:val="CommentaireCar"/>
    <w:rsid w:val="002E0CB6"/>
    <w:rPr>
      <w:sz w:val="20"/>
    </w:rPr>
  </w:style>
  <w:style w:type="character" w:customStyle="1" w:styleId="CommentaireCar">
    <w:name w:val="Commentaire Car"/>
    <w:basedOn w:val="Policepardfaut"/>
    <w:link w:val="Commentaire"/>
    <w:rsid w:val="002E0CB6"/>
    <w:rPr>
      <w:rFonts w:ascii="Arial" w:hAnsi="Arial"/>
    </w:rPr>
  </w:style>
  <w:style w:type="paragraph" w:styleId="Objetducommentaire">
    <w:name w:val="annotation subject"/>
    <w:basedOn w:val="Commentaire"/>
    <w:next w:val="Commentaire"/>
    <w:link w:val="ObjetducommentaireCar"/>
    <w:rsid w:val="002E0CB6"/>
    <w:rPr>
      <w:b/>
      <w:bCs/>
    </w:rPr>
  </w:style>
  <w:style w:type="character" w:customStyle="1" w:styleId="ObjetducommentaireCar">
    <w:name w:val="Objet du commentaire Car"/>
    <w:basedOn w:val="CommentaireCar"/>
    <w:link w:val="Objetducommentaire"/>
    <w:rsid w:val="002E0CB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F:\Qualit&#233;\MQ%20ISO%209001\DOCUMENTATION\I%20M\IM%20192.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_x00e9_gorie xmlns="49eb863e-fc60-422f-b466-0c2ee354a58b">Imprimés / Modèles</Cat_x00e9_gorie>
    <N_x00b0__x0020_de_x0020_r_x00e9_f_x00e9_rence xmlns="49eb863e-fc60-422f-b466-0c2ee354a58b">IM192</N_x00b0__x0020_de_x0020_r_x00e9_f_x00e9_rence>
    <Auteur xmlns="49eb863e-fc60-422f-b466-0c2ee354a58b">
      <UserInfo>
        <DisplayName/>
        <AccountId xsi:nil="true"/>
        <AccountType/>
      </UserInfo>
    </Auteur>
    <ISO xmlns="49eb863e-fc60-422f-b466-0c2ee354a58b">
      <Value>ISO9001</Value>
      <Value>ISO14001</Value>
    </ISO>
    <Th_x00e9_matique_SMQ_Audit_ISO xmlns="49eb863e-fc60-422f-b466-0c2ee354a58b">false</Th_x00e9_matique_SMQ_Audit_ISO>
    <Th_x00e9_matique_SMQ_Projets xmlns="49eb863e-fc60-422f-b466-0c2ee354a58b">true</Th_x00e9_matique_SMQ_Projets>
    <Th_x00e9_matique_SMQ_Rapports xmlns="49eb863e-fc60-422f-b466-0c2ee354a58b">false</Th_x00e9_matique_SMQ_Rapports>
    <Direction xmlns="a2521996-47aa-4ccc-97a5-48fc2ecea914" xsi:nil="true"/>
    <Th_x00e9_matique_SMQ_PAQ xmlns="49eb863e-fc60-422f-b466-0c2ee354a58b">false</Th_x00e9_matique_SMQ_PAQ>
    <Mise_x0020__x00e0__x0020_jour xmlns="49eb863e-fc60-422f-b466-0c2ee354a58b">2012-11-14T23:00:00+00:00</Mise_x0020__x00e0__x0020_jour>
    <Unite xmlns="a2521996-47aa-4ccc-97a5-48fc2ecea914">AUD/QUAL</Unite>
    <Th_x00e9_matique_SMQ_Fiches_Progres xmlns="49eb863e-fc60-422f-b466-0c2ee354a58b">false</Th_x00e9_matique_SMQ_Fiches_Progres>
    <Mots_x0020_cl_x00e9_ xmlns="a2521996-47aa-4ccc-97a5-48fc2ecea914">REUNION</Mots_x0020_cl_x00e9_>
    <PROCESSUS_x0020_DE_x0020_REFERENCE xmlns="a2521996-47aa-4ccc-97a5-48fc2ecea914">P2</PROCESSUS_x0020_DE_x0020_REFERENCE>
    <CLASSEMENT_x0020_DOC xmlns="1859e3ce-cbd9-4317-9776-a1bd3ad3cd19">GENE</CLASSEMENT_x0020_DOC>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A0A63DCF09994F97A202A1D3E4FC51" ma:contentTypeVersion="2" ma:contentTypeDescription="Crée un document." ma:contentTypeScope="" ma:versionID="a62b07f59975658f9431b29a3a1b3f05">
  <xsd:schema xmlns:xsd="http://www.w3.org/2001/XMLSchema" xmlns:xs="http://www.w3.org/2001/XMLSchema" xmlns:p="http://schemas.microsoft.com/office/2006/metadata/properties" xmlns:ns2="49eb863e-fc60-422f-b466-0c2ee354a58b" xmlns:ns3="a2521996-47aa-4ccc-97a5-48fc2ecea914" xmlns:ns4="1859e3ce-cbd9-4317-9776-a1bd3ad3cd19" targetNamespace="http://schemas.microsoft.com/office/2006/metadata/properties" ma:root="true" ma:fieldsID="17ac5f7b8848f43cdccc85d5f1a4518d" ns2:_="" ns3:_="" ns4:_="">
    <xsd:import namespace="49eb863e-fc60-422f-b466-0c2ee354a58b"/>
    <xsd:import namespace="a2521996-47aa-4ccc-97a5-48fc2ecea914"/>
    <xsd:import namespace="1859e3ce-cbd9-4317-9776-a1bd3ad3cd19"/>
    <xsd:element name="properties">
      <xsd:complexType>
        <xsd:sequence>
          <xsd:element name="documentManagement">
            <xsd:complexType>
              <xsd:all>
                <xsd:element ref="ns2:N_x00b0__x0020_de_x0020_r_x00e9_f_x00e9_rence" minOccurs="0"/>
                <xsd:element ref="ns2:Auteur" minOccurs="0"/>
                <xsd:element ref="ns2:Mise_x0020__x00e0__x0020_jour" minOccurs="0"/>
                <xsd:element ref="ns3:Direction" minOccurs="0"/>
                <xsd:element ref="ns3:Unite" minOccurs="0"/>
                <xsd:element ref="ns2:Cat_x00e9_gorie" minOccurs="0"/>
                <xsd:element ref="ns2:Th_x00e9_matique_SMQ_Projets" minOccurs="0"/>
                <xsd:element ref="ns2:Th_x00e9_matique_SMQ_PAQ" minOccurs="0"/>
                <xsd:element ref="ns2:Th_x00e9_matique_SMQ_Rapports" minOccurs="0"/>
                <xsd:element ref="ns2:Th_x00e9_matique_SMQ_Audit_ISO" minOccurs="0"/>
                <xsd:element ref="ns2:Th_x00e9_matique_SMQ_Fiches_Progres" minOccurs="0"/>
                <xsd:element ref="ns2:ISO" minOccurs="0"/>
                <xsd:element ref="ns3:Mots_x0020_cl_x00e9_" minOccurs="0"/>
                <xsd:element ref="ns3:PROCESSUS_x0020_DE_x0020_REFERENCE" minOccurs="0"/>
                <xsd:element ref="ns4:CLASSEMENT_x0020_DOC"/>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b863e-fc60-422f-b466-0c2ee354a58b" elementFormDefault="qualified">
    <xsd:import namespace="http://schemas.microsoft.com/office/2006/documentManagement/types"/>
    <xsd:import namespace="http://schemas.microsoft.com/office/infopath/2007/PartnerControls"/>
    <xsd:element name="N_x00b0__x0020_de_x0020_r_x00e9_f_x00e9_rence" ma:index="8" nillable="true" ma:displayName="N° de référence" ma:internalName="N_x00b0__x0020_de_x0020_r_x00e9_f_x00e9_rence" ma:readOnly="false">
      <xsd:simpleType>
        <xsd:restriction base="dms:Text">
          <xsd:maxLength value="255"/>
        </xsd:restriction>
      </xsd:simpleType>
    </xsd:element>
    <xsd:element name="Auteur" ma:index="9" nillable="true" ma:displayName="Auteur" ma:list="UserInfo" ma:SharePointGroup="0" ma:internalName="Au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se_x0020__x00e0__x0020_jour" ma:index="10" nillable="true" ma:displayName="Mise à jour" ma:format="DateOnly" ma:internalName="Mise_x0020__x00e0__x0020_jour" ma:readOnly="false">
      <xsd:simpleType>
        <xsd:restriction base="dms:DateTime"/>
      </xsd:simpleType>
    </xsd:element>
    <xsd:element name="Cat_x00e9_gorie" ma:index="13" nillable="true" ma:displayName="Catégorie" ma:default="Imprimés / Modèles" ma:format="Dropdown" ma:internalName="Cat_x00e9_gorie" ma:readOnly="false">
      <xsd:simpleType>
        <xsd:restriction base="dms:Choice">
          <xsd:enumeration value="Imprimés / Modèles"/>
          <xsd:enumeration value="Manuel Qualité du SMQ ISO 9001"/>
          <xsd:enumeration value="Manuel Qualité MMA 17025"/>
          <xsd:enumeration value="Méthodes de travail"/>
          <xsd:enumeration value="Modes opératoires"/>
          <xsd:enumeration value="Personnels qualifiés"/>
          <xsd:enumeration value="Processus"/>
          <xsd:enumeration value="Procédures de la norme"/>
        </xsd:restriction>
      </xsd:simpleType>
    </xsd:element>
    <xsd:element name="Th_x00e9_matique_SMQ_Projets" ma:index="14" nillable="true" ma:displayName="Thématique Projets" ma:default="0" ma:description="Case à cocher si le document est sur la thématique &quot;Projets&quot;" ma:internalName="Th_x00e9_matique_SMQ_Projets" ma:readOnly="false">
      <xsd:simpleType>
        <xsd:restriction base="dms:Boolean"/>
      </xsd:simpleType>
    </xsd:element>
    <xsd:element name="Th_x00e9_matique_SMQ_PAQ" ma:index="15" nillable="true" ma:displayName="Thématique PAQ" ma:default="0" ma:description="Case à cocher si le document est sur la thématique &quot;Analyses de risques et PAQ&quot;" ma:internalName="Th_x00e9_matique_SMQ_PAQ" ma:readOnly="false">
      <xsd:simpleType>
        <xsd:restriction base="dms:Boolean"/>
      </xsd:simpleType>
    </xsd:element>
    <xsd:element name="Th_x00e9_matique_SMQ_Rapports" ma:index="16" nillable="true" ma:displayName="Thématique Rapports" ma:default="0" ma:description="Case à cocher si le document est sur la thématique &quot;Rapports&quot;" ma:internalName="Th_x00e9_matique_SMQ_Rapports" ma:readOnly="false">
      <xsd:simpleType>
        <xsd:restriction base="dms:Boolean"/>
      </xsd:simpleType>
    </xsd:element>
    <xsd:element name="Th_x00e9_matique_SMQ_Audit_ISO" ma:index="17" nillable="true" ma:displayName="Thématique Audit ISO" ma:default="0" ma:description="Case à cocher si le document est sur la thématique &quot;Audit ISO&quot;" ma:internalName="Th_x00e9_matique_SMQ_Audit_ISO" ma:readOnly="false">
      <xsd:simpleType>
        <xsd:restriction base="dms:Boolean"/>
      </xsd:simpleType>
    </xsd:element>
    <xsd:element name="Th_x00e9_matique_SMQ_Fiches_Progres" ma:index="18" nillable="true" ma:displayName="Thématique Fiches Progres" ma:default="0" ma:description="Case à cocher si le document est sur la thématique &quot;Fiches progrès&quot;" ma:internalName="Th_x00e9_matique_SMQ_Fiches_Progres" ma:readOnly="false">
      <xsd:simpleType>
        <xsd:restriction base="dms:Boolean"/>
      </xsd:simpleType>
    </xsd:element>
    <xsd:element name="ISO" ma:index="19" nillable="true" ma:displayName="ISO" ma:default="ISO9001" ma:description="Sélectionner la ou les normes ISO de ce document." ma:internalName="ISO" ma:readOnly="false">
      <xsd:complexType>
        <xsd:complexContent>
          <xsd:extension base="dms:MultiChoice">
            <xsd:sequence>
              <xsd:element name="Value" maxOccurs="unbounded" minOccurs="0" nillable="true">
                <xsd:simpleType>
                  <xsd:restriction base="dms:Choice">
                    <xsd:enumeration value="ISO9001"/>
                    <xsd:enumeration value="ISO14001"/>
                    <xsd:enumeration value="ISO17025"/>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2521996-47aa-4ccc-97a5-48fc2ecea914" elementFormDefault="qualified">
    <xsd:import namespace="http://schemas.microsoft.com/office/2006/documentManagement/types"/>
    <xsd:import namespace="http://schemas.microsoft.com/office/infopath/2007/PartnerControls"/>
    <xsd:element name="Direction" ma:index="11" nillable="true" ma:displayName="Emetteur" ma:internalName="Direction" ma:readOnly="false">
      <xsd:simpleType>
        <xsd:restriction base="dms:Text">
          <xsd:maxLength value="255"/>
        </xsd:restriction>
      </xsd:simpleType>
    </xsd:element>
    <xsd:element name="Unite" ma:index="12" nillable="true" ma:displayName="Unite" ma:internalName="Unite" ma:readOnly="false">
      <xsd:simpleType>
        <xsd:restriction base="dms:Text">
          <xsd:maxLength value="255"/>
        </xsd:restriction>
      </xsd:simpleType>
    </xsd:element>
    <xsd:element name="Mots_x0020_cl_x00e9_" ma:index="20" nillable="true" ma:displayName="Mots clé" ma:internalName="Mots_x0020_cl_x00e9_" ma:readOnly="false">
      <xsd:simpleType>
        <xsd:restriction base="dms:Text">
          <xsd:maxLength value="255"/>
        </xsd:restriction>
      </xsd:simpleType>
    </xsd:element>
    <xsd:element name="PROCESSUS_x0020_DE_x0020_REFERENCE" ma:index="21" nillable="true" ma:displayName="PROCESSUS DE REFERENCE" ma:internalName="PROCESSUS_x0020_DE_x0020_REFERENC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59e3ce-cbd9-4317-9776-a1bd3ad3cd19" elementFormDefault="qualified">
    <xsd:import namespace="http://schemas.microsoft.com/office/2006/documentManagement/types"/>
    <xsd:import namespace="http://schemas.microsoft.com/office/infopath/2007/PartnerControls"/>
    <xsd:element name="CLASSEMENT_x0020_DOC" ma:index="22" ma:displayName="CLASSEMENT DOC" ma:internalName="CLASSEMENT_x0020_DOC">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ma:readOnly="true"/>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5AF481-952C-4CCA-ABF3-65216404A9DD}">
  <ds:schemaRefs>
    <ds:schemaRef ds:uri="http://www.w3.org/XML/1998/namespace"/>
    <ds:schemaRef ds:uri="http://purl.org/dc/dcmitype/"/>
    <ds:schemaRef ds:uri="http://schemas.microsoft.com/office/2006/metadata/properties"/>
    <ds:schemaRef ds:uri="49eb863e-fc60-422f-b466-0c2ee354a58b"/>
    <ds:schemaRef ds:uri="a2521996-47aa-4ccc-97a5-48fc2ecea914"/>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1859e3ce-cbd9-4317-9776-a1bd3ad3cd19"/>
  </ds:schemaRefs>
</ds:datastoreItem>
</file>

<file path=customXml/itemProps2.xml><?xml version="1.0" encoding="utf-8"?>
<ds:datastoreItem xmlns:ds="http://schemas.openxmlformats.org/officeDocument/2006/customXml" ds:itemID="{395A2AD5-BBF2-44F0-B639-B897C7E03450}">
  <ds:schemaRefs>
    <ds:schemaRef ds:uri="http://schemas.microsoft.com/office/2006/metadata/longProperties"/>
  </ds:schemaRefs>
</ds:datastoreItem>
</file>

<file path=customXml/itemProps3.xml><?xml version="1.0" encoding="utf-8"?>
<ds:datastoreItem xmlns:ds="http://schemas.openxmlformats.org/officeDocument/2006/customXml" ds:itemID="{D3DA2990-B572-48E6-9B41-C08412A64FFC}">
  <ds:schemaRefs>
    <ds:schemaRef ds:uri="http://schemas.microsoft.com/sharepoint/v3/contenttype/forms"/>
  </ds:schemaRefs>
</ds:datastoreItem>
</file>

<file path=customXml/itemProps4.xml><?xml version="1.0" encoding="utf-8"?>
<ds:datastoreItem xmlns:ds="http://schemas.openxmlformats.org/officeDocument/2006/customXml" ds:itemID="{81485FAE-2762-42DA-87FE-03F1C1F1B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eb863e-fc60-422f-b466-0c2ee354a58b"/>
    <ds:schemaRef ds:uri="a2521996-47aa-4ccc-97a5-48fc2ecea914"/>
    <ds:schemaRef ds:uri="1859e3ce-cbd9-4317-9776-a1bd3ad3cd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IM 192.dot</Template>
  <TotalTime>11</TotalTime>
  <Pages>5</Pages>
  <Words>969</Words>
  <Characters>4891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Compte rendu de réunion</vt:lpstr>
    </vt:vector>
  </TitlesOfParts>
  <Company>BRGM</Company>
  <LinksUpToDate>false</LinksUpToDate>
  <CharactersWithSpaces>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 rendu de réunion</dc:title>
  <dc:creator>delepouve</dc:creator>
  <cp:lastModifiedBy>Vicentin Serge</cp:lastModifiedBy>
  <cp:revision>3</cp:revision>
  <cp:lastPrinted>2014-12-23T14:37:00Z</cp:lastPrinted>
  <dcterms:created xsi:type="dcterms:W3CDTF">2014-12-23T14:33:00Z</dcterms:created>
  <dcterms:modified xsi:type="dcterms:W3CDTF">2014-12-23T14:44:00Z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Reference">
    <vt:lpwstr>IM192</vt:lpwstr>
  </property>
  <property fmtid="{D5CDD505-2E9C-101B-9397-08002B2CF9AE}" pid="3" name="ServiceUniteLU">
    <vt:lpwstr>248</vt:lpwstr>
  </property>
  <property fmtid="{D5CDD505-2E9C-101B-9397-08002B2CF9AE}" pid="4" name="ContentType">
    <vt:lpwstr>Doc SMQ sans auteur</vt:lpwstr>
  </property>
  <property fmtid="{D5CDD505-2E9C-101B-9397-08002B2CF9AE}" pid="5" name="ContentTypeId">
    <vt:lpwstr>0x0101006EA0A63DCF09994F97A202A1D3E4FC51</vt:lpwstr>
  </property>
  <property fmtid="{D5CDD505-2E9C-101B-9397-08002B2CF9AE}" pid="6" name="TypeDocSMQ">
    <vt:lpwstr>Imprimés / Modèles</vt:lpwstr>
  </property>
  <property fmtid="{D5CDD505-2E9C-101B-9397-08002B2CF9AE}" pid="7" name="Order">
    <vt:r8>5100</vt:r8>
  </property>
  <property fmtid="{D5CDD505-2E9C-101B-9397-08002B2CF9AE}" pid="8" name="display_urn:schemas-microsoft-com:office:office#Editor">
    <vt:lpwstr>Bidault Gratien</vt:lpwstr>
  </property>
  <property fmtid="{D5CDD505-2E9C-101B-9397-08002B2CF9AE}" pid="9" name="TemplateUrl">
    <vt:lpwstr/>
  </property>
  <property fmtid="{D5CDD505-2E9C-101B-9397-08002B2CF9AE}" pid="10" name="xd_ProgID">
    <vt:lpwstr/>
  </property>
  <property fmtid="{D5CDD505-2E9C-101B-9397-08002B2CF9AE}" pid="11" name="display_urn:schemas-microsoft-com:office:office#Author">
    <vt:lpwstr>Bidault Gratien</vt:lpwstr>
  </property>
</Properties>
</file>