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70" w:type="dxa"/>
        <w:jc w:val="left"/>
        <w:tblInd w:w="-69" w:type="dxa"/>
        <w:tblBorders/>
        <w:tblCellMar>
          <w:top w:w="14" w:type="dxa"/>
          <w:left w:w="0" w:type="dxa"/>
          <w:bottom w:w="14" w:type="dxa"/>
          <w:right w:w="86" w:type="dxa"/>
        </w:tblCellMar>
        <w:tblLook w:firstRow="0" w:noVBand="0" w:lastRow="0" w:firstColumn="0" w:lastColumn="0" w:noHBand="0" w:val="0000"/>
      </w:tblPr>
      <w:tblGrid>
        <w:gridCol w:w="1810"/>
        <w:gridCol w:w="978"/>
        <w:gridCol w:w="2551"/>
        <w:gridCol w:w="500"/>
        <w:gridCol w:w="624"/>
        <w:gridCol w:w="3406"/>
      </w:tblGrid>
      <w:tr>
        <w:trPr>
          <w:trHeight w:val="576" w:hRule="atLeast"/>
        </w:trPr>
        <w:tc>
          <w:tcPr>
            <w:tcW w:w="9869" w:type="dxa"/>
            <w:gridSpan w:val="6"/>
            <w:tcBorders/>
            <w:shd w:color="auto" w:fill="auto" w:val="clear"/>
            <w:vAlign w:val="center"/>
          </w:tcPr>
          <w:p>
            <w:pPr>
              <w:pStyle w:val="Titre1"/>
              <w:pageBreakBefore/>
              <w:spacing w:before="40" w:after="36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5386070</wp:posOffset>
                  </wp:positionH>
                  <wp:positionV relativeFrom="paragraph">
                    <wp:posOffset>6350</wp:posOffset>
                  </wp:positionV>
                  <wp:extent cx="799465" cy="101536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before="40" w:after="360"/>
              <w:jc w:val="left"/>
              <w:rPr/>
            </w:pPr>
            <w:r>
              <w:rPr/>
            </w:r>
          </w:p>
        </w:tc>
      </w:tr>
      <w:tr>
        <w:trPr>
          <w:trHeight w:val="576" w:hRule="atLeast"/>
        </w:trPr>
        <w:tc>
          <w:tcPr>
            <w:tcW w:w="9869" w:type="dxa"/>
            <w:gridSpan w:val="6"/>
            <w:tcBorders/>
            <w:shd w:color="auto" w:fill="004A94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FFFFFF"/>
                <w:sz w:val="32"/>
                <w:lang w:val="fr-FR"/>
              </w:rPr>
              <w:t>Atelier thématique« Communication »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color w:val="FFFFFF"/>
                <w:sz w:val="32"/>
                <w:lang w:val="fr-FR"/>
              </w:rPr>
              <w:t>Journée des acteurs Natura 2000 Grand Est</w:t>
            </w:r>
          </w:p>
        </w:tc>
      </w:tr>
      <w:tr>
        <w:trPr>
          <w:trHeight w:val="274" w:hRule="atLeast"/>
        </w:trPr>
        <w:tc>
          <w:tcPr>
            <w:tcW w:w="2788" w:type="dxa"/>
            <w:gridSpan w:val="2"/>
            <w:tcBorders/>
            <w:shd w:color="auto" w:fill="auto" w:val="clear"/>
            <w:vAlign w:val="center"/>
          </w:tcPr>
          <w:p>
            <w:pPr>
              <w:pStyle w:val="Titre3"/>
              <w:spacing w:before="240" w:after="40"/>
              <w:rPr/>
            </w:pPr>
            <w:r>
              <w:rPr>
                <w:b/>
                <w:color w:val="000000" w:themeColor="text1"/>
                <w:lang w:val="fr-FR"/>
              </w:rPr>
              <w:t>Compte-rendu</w:t>
            </w:r>
          </w:p>
        </w:tc>
        <w:tc>
          <w:tcPr>
            <w:tcW w:w="2551" w:type="dxa"/>
            <w:tcBorders/>
            <w:shd w:color="auto" w:fill="auto" w:val="clear"/>
            <w:vAlign w:val="center"/>
          </w:tcPr>
          <w:p>
            <w:pPr>
              <w:pStyle w:val="Titre4"/>
              <w:spacing w:before="240" w:after="40"/>
              <w:ind w:left="61" w:hanging="61"/>
              <w:rPr/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20/11/17</w:t>
            </w:r>
          </w:p>
        </w:tc>
        <w:tc>
          <w:tcPr>
            <w:tcW w:w="1124" w:type="dxa"/>
            <w:gridSpan w:val="2"/>
            <w:tcBorders/>
            <w:shd w:color="auto" w:fill="auto" w:val="clear"/>
            <w:vAlign w:val="center"/>
          </w:tcPr>
          <w:p>
            <w:pPr>
              <w:pStyle w:val="Titre4"/>
              <w:spacing w:before="240" w:after="40"/>
              <w:rPr/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13h30-16h</w:t>
            </w:r>
          </w:p>
        </w:tc>
        <w:tc>
          <w:tcPr>
            <w:tcW w:w="3406" w:type="dxa"/>
            <w:tcBorders/>
            <w:shd w:color="auto" w:fill="auto" w:val="clear"/>
            <w:vAlign w:val="center"/>
          </w:tcPr>
          <w:p>
            <w:pPr>
              <w:pStyle w:val="Titre5"/>
              <w:spacing w:before="240" w:after="40"/>
              <w:ind w:left="279" w:hanging="0"/>
              <w:jc w:val="left"/>
              <w:rPr/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Nancy</w:t>
            </w:r>
          </w:p>
        </w:tc>
      </w:tr>
      <w:tr>
        <w:trPr>
          <w:trHeight w:val="229" w:hRule="atLeast"/>
        </w:trPr>
        <w:tc>
          <w:tcPr>
            <w:tcW w:w="9869" w:type="dxa"/>
            <w:gridSpan w:val="6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color w:val="000000" w:themeColor="text1"/>
                <w:lang w:val="fr-FR"/>
              </w:rPr>
            </w:pPr>
            <w:r>
              <w:rPr>
                <w:color w:val="000000" w:themeColor="text1"/>
                <w:lang w:val="fr-FR"/>
              </w:rPr>
            </w:r>
          </w:p>
        </w:tc>
      </w:tr>
      <w:tr>
        <w:trPr>
          <w:trHeight w:val="1638" w:hRule="atLeast"/>
        </w:trPr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EECE1" w:themeFill="background2" w:val="clear"/>
            <w:tcMar>
              <w:left w:w="16" w:type="dxa"/>
            </w:tcMar>
            <w:vAlign w:val="center"/>
          </w:tcPr>
          <w:p>
            <w:pPr>
              <w:pStyle w:val="AllCapsHeading"/>
              <w:spacing w:before="60" w:after="60"/>
              <w:rPr/>
            </w:pPr>
            <w:r>
              <w:rPr>
                <w:rFonts w:eastAsia="Times New Roman" w:cs="Tahoma"/>
                <w:color w:val="000000" w:themeColor="text1"/>
                <w:spacing w:val="4"/>
                <w:sz w:val="20"/>
                <w:szCs w:val="20"/>
                <w:lang w:val="fr-FR" w:eastAsia="en-US" w:bidi="ne-IN"/>
              </w:rPr>
              <w:t>Participants</w:t>
            </w:r>
          </w:p>
        </w:tc>
        <w:tc>
          <w:tcPr>
            <w:tcW w:w="4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6" w:type="dxa"/>
            </w:tcMar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Yohann BROUILLARD (CENCA)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Claudine BURTIN (DDT67)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Mariane COQUET (fédération de Chasse 10)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Aude DANIELE (CC Arc Mosellan)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Aurélien DESCHATRES (LPO)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Anne-Laure DESTOMBE (DREAL Grand-Est)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Fabien DIEHL (CC Terres Touloises)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Camille FALLER (DREAL Grand-Est)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Karines GARES (PNR Ballons desVosges)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Marie L’HOSPITALIER (PNR VN)</w:t>
            </w:r>
          </w:p>
        </w:tc>
        <w:tc>
          <w:tcPr>
            <w:tcW w:w="40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6" w:type="dxa"/>
            </w:tcMar>
            <w:vAlign w:val="center"/>
          </w:tcPr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Jean Sébastien LAUMOND (CC Vallée de la Bruche)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Christine MATHIEU (PNR FO)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Maëlle MIRO PADOVANI (CC de Danvillers Spincourt)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Cathy NICOLAS (CC Vezouze en Pièmont)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David PECHEUR (ONF)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Estelle PROANO (région Grand-Est)</w:t>
            </w:r>
          </w:p>
          <w:p>
            <w:pPr>
              <w:pStyle w:val="Normal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Nathalie WARIN (Grand Nancy)</w:t>
            </w:r>
          </w:p>
          <w:p>
            <w:pPr>
              <w:pStyle w:val="Normal"/>
              <w:jc w:val="left"/>
              <w:rPr>
                <w:rFonts w:ascii="Tahoma" w:hAnsi="Tahoma"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</w:pPr>
            <w:r>
              <w:rPr>
                <w:rFonts w:eastAsia="Times New Roman" w:cs="Tahoma"/>
                <w:color w:val="00000A"/>
                <w:spacing w:val="4"/>
                <w:sz w:val="16"/>
                <w:szCs w:val="16"/>
                <w:lang w:val="en-GB" w:eastAsia="en-US" w:bidi="ne-IN"/>
              </w:rPr>
              <w:t>Pierre WERNAIN (CEN Lorraine)</w:t>
            </w:r>
          </w:p>
        </w:tc>
      </w:tr>
      <w:tr>
        <w:trPr>
          <w:trHeight w:val="432" w:hRule="atLeast"/>
        </w:trPr>
        <w:tc>
          <w:tcPr>
            <w:tcW w:w="9869" w:type="dxa"/>
            <w:gridSpan w:val="6"/>
            <w:tcBorders>
              <w:top w:val="single" w:sz="4" w:space="0" w:color="00000A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86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60" w:after="60"/>
              <w:jc w:val="right"/>
              <w:outlineLvl w:val="0"/>
              <w:rPr>
                <w:color w:val="000000" w:themeColor="text1"/>
                <w:sz w:val="18"/>
                <w:szCs w:val="16"/>
                <w:lang w:val="fr-FR"/>
              </w:rPr>
            </w:pPr>
            <w:r>
              <w:rPr>
                <w:color w:val="000000" w:themeColor="text1"/>
                <w:sz w:val="18"/>
                <w:szCs w:val="16"/>
                <w:lang w:val="fr-FR"/>
              </w:rPr>
            </w:r>
          </w:p>
        </w:tc>
      </w:tr>
      <w:tr>
        <w:trPr>
          <w:trHeight w:val="432" w:hRule="atLeast"/>
        </w:trPr>
        <w:tc>
          <w:tcPr>
            <w:tcW w:w="9869" w:type="dxa"/>
            <w:gridSpan w:val="6"/>
            <w:tcBorders>
              <w:top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auto" w:val="clear"/>
            <w:tcMar>
              <w:left w:w="86" w:type="dxa"/>
            </w:tcMar>
            <w:vAlign w:val="center"/>
          </w:tcPr>
          <w:p>
            <w:pPr>
              <w:pStyle w:val="Titre2"/>
              <w:spacing w:before="60" w:after="60"/>
              <w:rPr>
                <w:color w:val="000000" w:themeColor="text1"/>
                <w:sz w:val="18"/>
                <w:szCs w:val="16"/>
                <w:lang w:val="fr-FR"/>
              </w:rPr>
            </w:pPr>
            <w:r>
              <w:rPr>
                <w:color w:val="000000" w:themeColor="text1"/>
                <w:sz w:val="18"/>
                <w:szCs w:val="16"/>
                <w:lang w:val="fr-FR"/>
              </w:rPr>
            </w:r>
          </w:p>
        </w:tc>
      </w:tr>
      <w:tr>
        <w:trPr>
          <w:trHeight w:val="360" w:hRule="atLeast"/>
        </w:trPr>
        <w:tc>
          <w:tcPr>
            <w:tcW w:w="9869" w:type="dxa"/>
            <w:gridSpan w:val="6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CFE7F5" w:val="clear"/>
            <w:tcMar>
              <w:left w:w="16" w:type="dxa"/>
            </w:tcMar>
            <w:vAlign w:val="center"/>
          </w:tcPr>
          <w:p>
            <w:pPr>
              <w:pStyle w:val="Titre2"/>
              <w:spacing w:before="60" w:after="60"/>
              <w:rPr/>
            </w:pPr>
            <w:r>
              <w:rPr>
                <w:rFonts w:ascii="Calibri" w:hAnsi="Calibri"/>
                <w:b/>
                <w:bCs/>
                <w:caps/>
                <w:color w:val="000000" w:themeColor="text1"/>
                <w:sz w:val="24"/>
                <w:szCs w:val="24"/>
                <w:u w:val="none"/>
                <w:lang w:val="fr-FR"/>
              </w:rPr>
              <w:t>Objectif de l’atelier</w:t>
            </w:r>
          </w:p>
        </w:tc>
      </w:tr>
      <w:tr>
        <w:trPr>
          <w:trHeight w:val="360" w:hRule="atLeast"/>
        </w:trPr>
        <w:tc>
          <w:tcPr>
            <w:tcW w:w="986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6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Définition des attentes des acteurs Natura 2000 vis-à-vis du réseau Grand Est ;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rPr>
                <w:rFonts w:eastAsia="Times New Roman" w:cs="Tahoma"/>
                <w:b w:val="false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Partage d’expérience entre les acteurs Natura 2000 : retour d’expérience sur la communication mise en place par l’animateur suivant les différentes cibles (élus, le grand public …) ;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rPr>
                <w:rFonts w:eastAsia="Times New Roman" w:cs="Tahoma"/>
                <w:b w:val="false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Définition de pistes de travail afin de faciliter le travail en réseau et les partages d’expériences</w:t>
            </w:r>
          </w:p>
          <w:p>
            <w:pPr>
              <w:pStyle w:val="Normal"/>
              <w:jc w:val="both"/>
              <w:rPr>
                <w:b/>
                <w:b/>
                <w:caps/>
                <w:color w:val="000000" w:themeColor="text1"/>
                <w:sz w:val="20"/>
                <w:lang w:val="fr-FR"/>
              </w:rPr>
            </w:pPr>
            <w:r>
              <w:rPr>
                <w:b/>
                <w:caps/>
                <w:color w:val="000000" w:themeColor="text1"/>
                <w:sz w:val="20"/>
                <w:lang w:val="fr-FR"/>
              </w:rPr>
            </w:r>
          </w:p>
        </w:tc>
      </w:tr>
      <w:tr>
        <w:trPr>
          <w:trHeight w:val="360" w:hRule="atLeast"/>
        </w:trPr>
        <w:tc>
          <w:tcPr>
            <w:tcW w:w="986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CFE7F5" w:val="clear"/>
            <w:tcMar>
              <w:left w:w="16" w:type="dxa"/>
            </w:tcMar>
            <w:vAlign w:val="center"/>
          </w:tcPr>
          <w:p>
            <w:pPr>
              <w:pStyle w:val="Titre2"/>
              <w:spacing w:before="60" w:after="60"/>
              <w:jc w:val="both"/>
              <w:rPr/>
            </w:pPr>
            <w:r>
              <w:rPr>
                <w:rFonts w:eastAsia="Times New Roman" w:cs="Tahoma" w:ascii="Calibri" w:hAnsi="Calibri"/>
                <w:b/>
                <w:bCs/>
                <w:caps/>
                <w:color w:val="000000" w:themeColor="text1"/>
                <w:spacing w:val="4"/>
                <w:sz w:val="24"/>
                <w:szCs w:val="24"/>
                <w:u w:val="none"/>
                <w:lang w:val="fr-FR" w:eastAsia="en-US" w:bidi="ne-IN"/>
              </w:rPr>
              <w:t>Déroulé et contenu de la réunion</w:t>
            </w:r>
          </w:p>
        </w:tc>
      </w:tr>
      <w:tr>
        <w:trPr>
          <w:trHeight w:val="360" w:hRule="atLeast"/>
        </w:trPr>
        <w:tc>
          <w:tcPr>
            <w:tcW w:w="9869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6" w:type="dxa"/>
            </w:tcMar>
            <w:vAlign w:val="center"/>
          </w:tcPr>
          <w:p>
            <w:pPr>
              <w:pStyle w:val="Titre2"/>
              <w:spacing w:before="60" w:after="60"/>
              <w:jc w:val="both"/>
              <w:rPr/>
            </w:pPr>
            <w:r>
              <w:rPr>
                <w:rFonts w:eastAsia="Times New Roman" w:cs="Tahoma"/>
                <w:b w:val="false"/>
                <w:bCs w:val="false"/>
                <w:caps/>
                <w:color w:val="000000" w:themeColor="text1"/>
                <w:spacing w:val="4"/>
                <w:sz w:val="20"/>
                <w:szCs w:val="20"/>
                <w:u w:val="single"/>
                <w:lang w:val="fr-FR" w:eastAsia="en-US" w:bidi="ne-IN"/>
              </w:rPr>
              <w:t>1</w:t>
            </w:r>
            <w:r>
              <w:rPr>
                <w:rFonts w:eastAsia="Times New Roman" w:cs="Tahoma"/>
                <w:b w:val="false"/>
                <w:bCs w:val="false"/>
                <w:caps/>
                <w:color w:val="000000" w:themeColor="text1"/>
                <w:spacing w:val="4"/>
                <w:sz w:val="20"/>
                <w:szCs w:val="20"/>
                <w:u w:val="single"/>
                <w:vertAlign w:val="superscript"/>
                <w:lang w:val="fr-FR" w:eastAsia="en-US" w:bidi="ne-IN"/>
              </w:rPr>
              <w:t>er</w:t>
            </w:r>
            <w:r>
              <w:rPr>
                <w:rFonts w:eastAsia="Times New Roman" w:cs="Tahoma"/>
                <w:b w:val="false"/>
                <w:bCs w:val="false"/>
                <w:caps/>
                <w:color w:val="000000" w:themeColor="text1"/>
                <w:spacing w:val="4"/>
                <w:sz w:val="20"/>
                <w:szCs w:val="20"/>
                <w:u w:val="single"/>
                <w:lang w:val="fr-FR" w:eastAsia="en-US" w:bidi="ne-IN"/>
              </w:rPr>
              <w:t xml:space="preserve"> touR DE TABLE : </w:t>
            </w:r>
          </w:p>
          <w:p>
            <w:pPr>
              <w:pStyle w:val="Titre2"/>
              <w:rPr/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Ce premier tour de table permet la présentation de chacun des participants et de la définition de des besoins en termes de communication sur les sites respectifs des différents participants.</w:t>
            </w:r>
          </w:p>
          <w:p>
            <w:pPr>
              <w:pStyle w:val="Normal"/>
              <w:rPr>
                <w:rFonts w:eastAsia="Times New Roman" w:cs="Tahoma"/>
                <w:b w:val="false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Les tendances suivantes sont ressorties des échanges :</w:t>
            </w:r>
          </w:p>
          <w:p>
            <w:pPr>
              <w:pStyle w:val="Normal"/>
              <w:rPr>
                <w:rFonts w:ascii="Tahoma" w:hAnsi="Tahoma" w:eastAsia="Times New Roman" w:cs="Tahoma"/>
                <w:b w:val="false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La communication est le point central du travail de l’animateur Natura 2000. 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Elle est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 essentielle 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pour faire connaître et prendre e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n considération 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le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 milieu et ses richesses par les acteurs. Locaux. Elle e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st 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nécessaire à l’émergence de contrats, de chartes. 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Elle permet aussi d’améliorer la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 vigilance 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des acteurs locaux </w:t>
            </w: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sur les projets dans/à proximité du site (EIN). Elle permet aussi une explication sur les travaux de gestion prévus sur le site et une </w:t>
            </w:r>
            <w:bookmarkStart w:id="0" w:name="__DdeLink__475_568879221"/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valorisation des actions conduites</w:t>
            </w:r>
            <w:bookmarkEnd w:id="0"/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. </w:t>
            </w:r>
          </w:p>
          <w:p>
            <w:pPr>
              <w:pStyle w:val="Normal"/>
              <w:numPr>
                <w:ilvl w:val="0"/>
                <w:numId w:val="0"/>
              </w:numPr>
              <w:rPr>
                <w:rFonts w:eastAsia="Times New Roman" w:cs="Tahoma"/>
                <w:b w:val="false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Besoin de constituer un réseau d’échanges vivant afin de partager les expériences et relancer la dynamique d’animation sur certains sites.</w:t>
            </w:r>
          </w:p>
          <w:p>
            <w:pPr>
              <w:pStyle w:val="Normal"/>
              <w:numPr>
                <w:ilvl w:val="0"/>
                <w:numId w:val="0"/>
              </w:numPr>
              <w:rPr>
                <w:rFonts w:ascii="Tahoma" w:hAnsi="Tahoma" w:eastAsia="Times New Roman" w:cs="Tahoma"/>
                <w:b w:val="false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Questionnement sur les outils à mettre en œuvre afin de toucher les acteurs locaux et favoriser l’appropriation du site.</w:t>
            </w:r>
          </w:p>
          <w:p>
            <w:pPr>
              <w:pStyle w:val="Normal"/>
              <w:numPr>
                <w:ilvl w:val="0"/>
                <w:numId w:val="0"/>
              </w:numPr>
              <w:rPr>
                <w:rFonts w:ascii="Tahoma" w:hAnsi="Tahoma" w:eastAsia="Times New Roman" w:cs="Tahoma"/>
                <w:b w:val="false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Réflexion sur les pistes de communication afin de partager de manière positive sur les enjeux du site.</w:t>
            </w:r>
          </w:p>
          <w:p>
            <w:pPr>
              <w:pStyle w:val="Normal"/>
              <w:numPr>
                <w:ilvl w:val="0"/>
                <w:numId w:val="0"/>
              </w:numPr>
              <w:rPr>
                <w:rFonts w:eastAsia="Times New Roman" w:cs="Tahoma"/>
                <w:b w:val="false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numPr>
                <w:ilvl w:val="0"/>
                <w:numId w:val="0"/>
              </w:numPr>
              <w:rPr>
                <w:rFonts w:eastAsia="Times New Roman" w:cs="Tahoma"/>
                <w:b w:val="false"/>
                <w:b w:val="false"/>
                <w:bCs w:val="false"/>
                <w:color w:val="000000" w:themeColor="text1"/>
                <w:spacing w:val="4"/>
                <w:sz w:val="20"/>
                <w:szCs w:val="20"/>
                <w:highlight w:val="yellow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olor w:val="000000" w:themeColor="text1"/>
                <w:spacing w:val="4"/>
                <w:sz w:val="20"/>
                <w:szCs w:val="20"/>
                <w:highlight w:val="yellow"/>
                <w:u w:val="none"/>
                <w:lang w:val="fr-FR" w:eastAsia="en-US" w:bidi="ne-IN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ahoma"/>
                <w:b w:val="false"/>
                <w:bCs w:val="false"/>
                <w:caps/>
                <w:color w:val="000000" w:themeColor="text1"/>
                <w:spacing w:val="4"/>
                <w:sz w:val="20"/>
                <w:szCs w:val="20"/>
                <w:u w:val="single"/>
                <w:lang w:val="fr-FR" w:eastAsia="en-US" w:bidi="ne-IN"/>
              </w:rPr>
              <w:t>Définition des actions de communication existantes sur le Grand Est</w:t>
            </w:r>
          </w:p>
          <w:p>
            <w:pPr>
              <w:pStyle w:val="Normal"/>
              <w:rPr>
                <w:lang w:val="fr-FR" w:eastAsia="en-US" w:bidi="ne-IN"/>
              </w:rPr>
            </w:pPr>
            <w:r>
              <w:rPr>
                <w:lang w:val="fr-FR" w:eastAsia="en-US" w:bidi="ne-IN"/>
              </w:rPr>
            </w:r>
          </w:p>
          <w:p>
            <w:pPr>
              <w:pStyle w:val="Normal"/>
              <w:rPr/>
            </w:pPr>
            <w:r>
              <w:rPr>
                <w:rFonts w:eastAsia="Times New Roman" w:cs="Tahoma"/>
                <w:b w:val="false"/>
                <w:bCs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 xml:space="preserve">Par l’intermédiaire de post-its les animateurs Natura 2000 participants à l’atelier ont pu développer les travaux de communication amorcés sur leurs sites respectifs et partager les enjeux de ces actions de communication ainsi que sur les difficultés rencontrées. </w:t>
            </w:r>
          </w:p>
          <w:p>
            <w:pPr>
              <w:pStyle w:val="Normal"/>
              <w:rPr>
                <w:lang w:val="fr-FR" w:eastAsia="en-US" w:bidi="ne-IN"/>
              </w:rPr>
            </w:pPr>
            <w:r>
              <w:rPr>
                <w:lang w:val="fr-FR" w:eastAsia="en-US" w:bidi="ne-IN"/>
              </w:rPr>
            </w:r>
          </w:p>
          <w:p>
            <w:pPr>
              <w:pStyle w:val="Normal"/>
              <w:rPr>
                <w:lang w:val="fr-FR" w:eastAsia="en-US" w:bidi="ne-IN"/>
              </w:rPr>
            </w:pPr>
            <w:r>
              <w:rPr>
                <w:lang w:val="fr-FR" w:eastAsia="en-US" w:bidi="ne-IN"/>
              </w:rPr>
            </w:r>
          </w:p>
          <w:p>
            <w:pPr>
              <w:pStyle w:val="Normal"/>
              <w:rPr>
                <w:lang w:val="fr-FR" w:eastAsia="en-US" w:bidi="ne-IN"/>
              </w:rPr>
            </w:pPr>
            <w:r>
              <w:rPr>
                <w:lang w:val="fr-FR" w:eastAsia="en-US" w:bidi="ne-IN"/>
              </w:rPr>
            </w:r>
          </w:p>
          <w:tbl>
            <w:tblPr>
              <w:tblW w:w="9915" w:type="dxa"/>
              <w:jc w:val="left"/>
              <w:tblInd w:w="-4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45" w:type="dxa"/>
                <w:bottom w:w="55" w:type="dxa"/>
                <w:right w:w="55" w:type="dxa"/>
              </w:tblCellMar>
            </w:tblPr>
            <w:tblGrid>
              <w:gridCol w:w="1994"/>
              <w:gridCol w:w="2866"/>
              <w:gridCol w:w="3015"/>
              <w:gridCol w:w="2039"/>
            </w:tblGrid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CFE7F5" w:val="clear"/>
                  <w:tcMar>
                    <w:left w:w="45" w:type="dxa"/>
                  </w:tcMar>
                </w:tcPr>
                <w:p>
                  <w:pPr>
                    <w:pStyle w:val="Contenudetableau"/>
                    <w:jc w:val="center"/>
                    <w:rPr/>
                  </w:pPr>
                  <w:r>
                    <w:rPr>
                      <w:rFonts w:eastAsia="Times New Roman" w:cs="Tahoma"/>
                      <w:b/>
                      <w:bCs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Public visé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CFE7F5" w:val="clear"/>
                  <w:tcMar>
                    <w:left w:w="45" w:type="dxa"/>
                  </w:tcMar>
                </w:tcPr>
                <w:p>
                  <w:pPr>
                    <w:pStyle w:val="Contenudetableau"/>
                    <w:jc w:val="center"/>
                    <w:rPr/>
                  </w:pPr>
                  <w:r>
                    <w:rPr>
                      <w:rFonts w:eastAsia="Times New Roman" w:cs="Tahoma"/>
                      <w:b/>
                      <w:bCs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Action de communication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CFE7F5" w:val="clear"/>
                  <w:tcMar>
                    <w:left w:w="45" w:type="dxa"/>
                  </w:tcMar>
                </w:tcPr>
                <w:p>
                  <w:pPr>
                    <w:pStyle w:val="Contenudetableau"/>
                    <w:jc w:val="center"/>
                    <w:rPr/>
                  </w:pPr>
                  <w:r>
                    <w:rPr>
                      <w:rFonts w:eastAsia="Times New Roman" w:cs="Tahoma"/>
                      <w:b/>
                      <w:bCs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Enjeux / Difficultés rencontrées</w:t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CFE7F5" w:val="clear"/>
                  <w:tcMar>
                    <w:left w:w="45" w:type="dxa"/>
                  </w:tcMar>
                </w:tcPr>
                <w:p>
                  <w:pPr>
                    <w:pStyle w:val="Contenudetableau"/>
                    <w:jc w:val="center"/>
                    <w:rPr>
                      <w:rFonts w:ascii="Tahoma" w:hAnsi="Tahoma" w:eastAsia="Times New Roman" w:cs="Tahoma"/>
                      <w:b/>
                      <w:b/>
                      <w:bCs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/>
                      <w:bCs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Exemple de sites</w:t>
                  </w:r>
                </w:p>
              </w:tc>
            </w:tr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Élus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Synthèse du DOCOB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 xml:space="preserve">Enjeu : 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Le DOCOB est un document dense et difficilement accessible à tous.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Une synthèse de l’ouvrage facilite l’appropriation des enjeux du site par les élus</w:t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Comm – Comm Vallée de la Bruche</w:t>
                  </w:r>
                </w:p>
              </w:tc>
            </w:tr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Élus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Associations (pêche...)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voir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e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grand public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Chantier participatif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Enjeu :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Communiquer sur les travaux de restaurations écologiques en site Natura 2000 en associant les acteurs locaux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Action menée largement par les acteurs Natura participant à l’atelier</w:t>
                  </w:r>
                </w:p>
              </w:tc>
            </w:tr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Élus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Associations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voir grand public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Lettre d’information :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* présentation / rappel des enjeux globaux du site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* sur les actions conduites sur le site (bilan d’activité)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* sur une action de restauration en particulier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Enjeu :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Diffuser régulièrement de l’information sur le site</w:t>
                  </w:r>
                </w:p>
                <w:p>
                  <w:pPr>
                    <w:pStyle w:val="Contenudetableau"/>
                    <w:rPr>
                      <w:u w:val="single"/>
                    </w:rPr>
                  </w:pPr>
                  <w:r>
                    <w:rPr>
                      <w:u w:val="single"/>
                    </w:rPr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Difficultés</w:t>
                  </w:r>
                </w:p>
                <w:p>
                  <w:pPr>
                    <w:pStyle w:val="Contenudetableau"/>
                    <w:numPr>
                      <w:ilvl w:val="0"/>
                      <w:numId w:val="8"/>
                    </w:numPr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Peu de retour (manque de lecteurs ?)</w:t>
                  </w:r>
                </w:p>
                <w:p>
                  <w:pPr>
                    <w:pStyle w:val="Contenudetableau"/>
                    <w:numPr>
                      <w:ilvl w:val="0"/>
                      <w:numId w:val="8"/>
                    </w:numPr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Coût d’impression parfois non négligeable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Pistes de progression envisagées :</w:t>
                  </w:r>
                </w:p>
                <w:p>
                  <w:pPr>
                    <w:pStyle w:val="Contenudetableau"/>
                    <w:numPr>
                      <w:ilvl w:val="0"/>
                      <w:numId w:val="7"/>
                    </w:numPr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Intégration d’articles dans les bulletins municipaux et intercommunautaires : </w:t>
                  </w:r>
                </w:p>
                <w:p>
                  <w:pPr>
                    <w:pStyle w:val="Contenudetableau"/>
                    <w:numPr>
                      <w:ilvl w:val="0"/>
                      <w:numId w:val="0"/>
                    </w:numPr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plus de lecteurs et moindre coûts</w:t>
                  </w:r>
                </w:p>
                <w:p>
                  <w:pPr>
                    <w:pStyle w:val="Contenudetableau"/>
                    <w:numPr>
                      <w:ilvl w:val="0"/>
                      <w:numId w:val="0"/>
                    </w:numPr>
                    <w:rPr>
                      <w:u w:val="single"/>
                    </w:rPr>
                  </w:pPr>
                  <w:r>
                    <w:rPr>
                      <w:u w:val="single"/>
                    </w:rPr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Action menée largement par les acteurs Natura participant à l’atelier</w:t>
                  </w:r>
                </w:p>
              </w:tc>
            </w:tr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Grand public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Articles de presse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Enjeu :</w:t>
                  </w:r>
                </w:p>
                <w:p>
                  <w:pPr>
                    <w:pStyle w:val="Normal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Valorisation des actions conduites</w:t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/>
                    <w:t>A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ction menée largement par les acteurs Natura participant à l’atelier</w:t>
                  </w:r>
                </w:p>
              </w:tc>
            </w:tr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Acteurs du territoire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(Agriculteurs dans le cadre de la mise en œuvre des MAEC, élus, gestionnaire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s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forestier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s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...)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Sortie nature (espèces, milieux, modes de gestion)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Enjeu :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Faire le lien entre les pratiques agricoles et forestières et les enjeux Natura 2000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Pistes de progression envisagées :</w:t>
                  </w:r>
                </w:p>
                <w:p>
                  <w:pPr>
                    <w:pStyle w:val="Contenudetableau"/>
                    <w:numPr>
                      <w:ilvl w:val="0"/>
                      <w:numId w:val="4"/>
                    </w:numPr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Privilégier les temps d’échanges non formel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s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(repas …) afin de permettre une ouverture du discours</w:t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Région Grand Est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PNRBV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...</w:t>
                  </w:r>
                </w:p>
              </w:tc>
            </w:tr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Tout public / Scolaire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Sortie découverte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Sorties naturalistes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Enjeu :</w:t>
                  </w:r>
                </w:p>
                <w:p>
                  <w:pPr>
                    <w:pStyle w:val="Contenudetableau"/>
                    <w:numPr>
                      <w:ilvl w:val="0"/>
                      <w:numId w:val="5"/>
                    </w:numPr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Faire découvrir le site et avec une prise de conscience des enjeux sur le terrain</w:t>
                  </w:r>
                </w:p>
                <w:p>
                  <w:pPr>
                    <w:pStyle w:val="Normal"/>
                    <w:numPr>
                      <w:ilvl w:val="0"/>
                      <w:numId w:val="5"/>
                    </w:numPr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Concilier accueil du public sur les sites et conservation du site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Difficultés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à toucher les acteurs non intéressés par la thématique « Nature » lors de ces sorties.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Pistes de progression envisagées :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numPr>
                      <w:ilvl w:val="0"/>
                      <w:numId w:val="3"/>
                    </w:numPr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Utiliser des évènements dépassants les limites du site pour communiquer </w:t>
                  </w:r>
                  <w:r>
                    <w:rPr>
                      <w:rFonts w:eastAsia="Times New Roman" w:cs="Tahoma"/>
                      <w:b w:val="false"/>
                      <w:bCs w:val="false"/>
                      <w:i/>
                      <w:iCs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(fêtes des mares, journée du patrimoine …)</w:t>
                  </w:r>
                </w:p>
                <w:p>
                  <w:pPr>
                    <w:pStyle w:val="Contenudetableau"/>
                    <w:numPr>
                      <w:ilvl w:val="0"/>
                      <w:numId w:val="3"/>
                    </w:numPr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Diversifier sa façon de communiquer (voir ci-dessous </w:t>
                  </w:r>
                  <w:r>
                    <w:rPr>
                      <w:rFonts w:eastAsia="Times New Roman" w:cs="Tahoma"/>
                      <w:b w:val="false"/>
                      <w:bCs w:val="false"/>
                      <w:i/>
                      <w:iCs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« actions de communication innovantes »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)</w:t>
                  </w:r>
                </w:p>
                <w:p>
                  <w:pPr>
                    <w:pStyle w:val="Contenudetableau"/>
                    <w:numPr>
                      <w:ilvl w:val="0"/>
                      <w:numId w:val="3"/>
                    </w:numPr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Intervention de spécialistes (conférencier ...)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Action menée largement par les acteurs Natura participant à l’atelier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</w:tc>
            </w:tr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>
                      <w:rFonts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>
                      <w:rFonts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Tout public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Actions de communication innovantes :</w:t>
                  </w:r>
                </w:p>
                <w:p>
                  <w:pPr>
                    <w:pStyle w:val="Contenudetableau"/>
                    <w:rPr>
                      <w:rFonts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- Pièce de théâtre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- Conférence culinaire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- Film </w:t>
                  </w:r>
                  <w:r>
                    <w:rPr>
                      <w:rFonts w:eastAsia="Times New Roman" w:cs="Tahoma"/>
                      <w:b w:val="false"/>
                      <w:bCs w:val="false"/>
                      <w:i/>
                      <w:iCs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(exemple « de grès et d’eau » sur les vosges du nord)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- Cartes postales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- Chasse au trésor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- Ciné-débat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- Caméras commandées à distance pour filmer les chauves-souris (vision en direct possible dans le hall de la mairie concernée et via internet)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- ...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Enjeu :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Diversifier ses moyens de communication afin de toucher un public le plus large possible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Pièce de théâtre :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CEN Lorraine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Conférence culinaire / Film /Cartes postales / Caméra Chauve-Souris / Cine -débat :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Vosges du Nord 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...</w:t>
                  </w:r>
                </w:p>
              </w:tc>
            </w:tr>
            <w:tr>
              <w:trPr>
                <w:trHeight w:val="1374" w:hRule="atLeast"/>
              </w:trPr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Tout public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spacing w:lineRule="auto" w:line="240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Communication via les </w:t>
                  </w:r>
                  <w:r>
                    <w:rPr>
                      <w:rStyle w:val="Accentuation"/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nouvelles technologies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de l'</w:t>
                  </w:r>
                  <w:r>
                    <w:rPr>
                      <w:rStyle w:val="Accentuation"/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information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et de la </w:t>
                  </w:r>
                  <w:r>
                    <w:rPr>
                      <w:rStyle w:val="Accentuation"/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communication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(Blogs, Site internet, Réseaux sociaux ...)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 xml:space="preserve">Enjeu : 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S’adapter à un publi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plus « jeune »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Mettre des informations régulièrement sur le site</w:t>
                  </w:r>
                </w:p>
                <w:p>
                  <w:pPr>
                    <w:pStyle w:val="Contenudetableau"/>
                    <w:rPr>
                      <w:u w:val="single"/>
                    </w:rPr>
                  </w:pPr>
                  <w:r>
                    <w:rPr>
                      <w:u w:val="single"/>
                    </w:rPr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Difficultés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</w:t>
                  </w:r>
                </w:p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Trouver plateforme d’hébergement 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stable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Pistes de progression envisagées :</w:t>
                  </w:r>
                </w:p>
                <w:p>
                  <w:pPr>
                    <w:pStyle w:val="Contenudetableau"/>
                    <w:numPr>
                      <w:ilvl w:val="0"/>
                      <w:numId w:val="6"/>
                    </w:numPr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Amélioration du site internet de la DREAL</w:t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CEN Lorraine (Site de Plaine et étang du Bischwald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)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...</w:t>
                  </w:r>
                </w:p>
              </w:tc>
            </w:tr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Tout public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  <w:t>Expositions itinéraires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  <w:t>(kakémonos)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 xml:space="preserve">Enjeu : 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Permettre une exposition « tournante » dans les différentes mairies touchées par le site Natura 2000</w:t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  <w:t>PNRBV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  <w:t>...</w:t>
                  </w:r>
                </w:p>
              </w:tc>
            </w:tr>
            <w:tr>
              <w:trPr/>
              <w:tc>
                <w:tcPr>
                  <w:tcW w:w="1994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Tout public</w:t>
                  </w:r>
                </w:p>
              </w:tc>
              <w:tc>
                <w:tcPr>
                  <w:tcW w:w="286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  <w:t>Aménagement de sentiers découvertes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  <w:t>Panneaux d’information sur site</w:t>
                  </w:r>
                </w:p>
              </w:tc>
              <w:tc>
                <w:tcPr>
                  <w:tcW w:w="301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Difficultés</w:t>
                  </w: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 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Coût d’investissement et d’entretien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single"/>
                      <w:lang w:val="fr-FR" w:eastAsia="en-US" w:bidi="ne-IN"/>
                    </w:rPr>
                    <w:t>Pistes de progression envisagées :</w:t>
                  </w:r>
                </w:p>
                <w:p>
                  <w:pPr>
                    <w:pStyle w:val="Contenudetableau"/>
                    <w:numPr>
                      <w:ilvl w:val="0"/>
                      <w:numId w:val="9"/>
                    </w:numPr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Cibler des espèces faune flore facilement identifiables par le public afin d’assurer l’appropriation du site </w:t>
                  </w:r>
                </w:p>
                <w:p>
                  <w:pPr>
                    <w:pStyle w:val="Contenudetableau"/>
                    <w:numPr>
                      <w:ilvl w:val="0"/>
                      <w:numId w:val="9"/>
                    </w:numPr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 xml:space="preserve">Intégrer les informations Natura 2000 dans des panneaux permettant la découverte plus globale des territoires </w:t>
                  </w:r>
                  <w:r>
                    <w:rPr>
                      <w:rFonts w:eastAsia="Times New Roman" w:cs="Tahoma"/>
                      <w:b w:val="false"/>
                      <w:bCs w:val="false"/>
                      <w:i/>
                      <w:iCs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(exemple : sentier tourisitique, sentier des vignes ...)</w:t>
                  </w:r>
                </w:p>
                <w:p>
                  <w:pPr>
                    <w:pStyle w:val="Contenudetableau"/>
                    <w:numPr>
                      <w:ilvl w:val="0"/>
                      <w:numId w:val="9"/>
                    </w:numPr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Utilisation de QR code ou autre technique de localisation</w:t>
                  </w:r>
                </w:p>
                <w:p>
                  <w:pPr>
                    <w:pStyle w:val="Contenudetableau"/>
                    <w:numPr>
                      <w:ilvl w:val="0"/>
                      <w:numId w:val="9"/>
                    </w:numPr>
                    <w:rPr/>
                  </w:pPr>
                  <w:r>
                    <w:rPr>
                      <w:rFonts w:eastAsia="Times New Roman" w:cs="Tahoma"/>
                      <w:b w:val="false"/>
                      <w:bCs w:val="false"/>
                      <w:i w:val="false"/>
                      <w:iCs w:val="false"/>
                      <w:color w:val="000000" w:themeColor="text1"/>
                      <w:spacing w:val="4"/>
                      <w:sz w:val="20"/>
                      <w:szCs w:val="20"/>
                      <w:u w:val="none"/>
                      <w:lang w:val="fr-FR" w:eastAsia="en-US" w:bidi="ne-IN"/>
                    </w:rPr>
                    <w:t>Application en ligne de lecture du paysage</w:t>
                  </w:r>
                </w:p>
              </w:tc>
              <w:tc>
                <w:tcPr>
                  <w:tcW w:w="203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45" w:type="dxa"/>
                  </w:tcMar>
                  <w:vAlign w:val="center"/>
                </w:tcPr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  <w:t>Comm-comm Arc mosellan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  <w:t>CEN Lorraine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  <w:t>...</w:t>
                  </w:r>
                </w:p>
                <w:p>
                  <w:pPr>
                    <w:pStyle w:val="Contenudetableau"/>
                    <w:rPr>
                      <w:rFonts w:ascii="Tahoma" w:hAnsi="Tahoma"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pPr>
                  <w:r>
                    <w:rPr>
                      <w:rFonts w:eastAsia="Times New Roman" w:cs="Tahoma"/>
                      <w:color w:val="000000" w:themeColor="text1"/>
                      <w:spacing w:val="4"/>
                      <w:sz w:val="20"/>
                      <w:szCs w:val="20"/>
                      <w:lang w:val="fr-FR" w:eastAsia="en-US" w:bidi="ne-IN"/>
                    </w:rPr>
                  </w:r>
                </w:p>
              </w:tc>
            </w:tr>
          </w:tbl>
          <w:p>
            <w:pPr>
              <w:pStyle w:val="Normal"/>
              <w:spacing w:before="60" w:after="60"/>
              <w:jc w:val="both"/>
              <w:rPr>
                <w:rFonts w:ascii="Tahoma" w:hAnsi="Tahoma" w:eastAsia="Times New Roman" w:cs="Tahoma"/>
                <w:b w:val="false"/>
                <w:b w:val="false"/>
                <w:bCs w:val="false"/>
                <w:caps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aps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60" w:after="60"/>
              <w:jc w:val="both"/>
              <w:rPr>
                <w:rFonts w:ascii="Tahoma" w:hAnsi="Tahoma" w:eastAsia="Times New Roman" w:cs="Tahoma"/>
                <w:b w:val="false"/>
                <w:b w:val="false"/>
                <w:bCs w:val="false"/>
                <w:caps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eastAsia="Times New Roman" w:cs="Tahoma"/>
                <w:b w:val="false"/>
                <w:bCs w:val="false"/>
                <w:caps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</w:p>
    <w:tbl>
      <w:tblPr>
        <w:tblW w:w="9815" w:type="dxa"/>
        <w:jc w:val="center"/>
        <w:tblInd w:w="0" w:type="dxa"/>
        <w:tblBorders>
          <w:top w:val="single" w:sz="2" w:space="0" w:color="00000A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14" w:type="dxa"/>
          <w:left w:w="16" w:type="dxa"/>
          <w:bottom w:w="14" w:type="dxa"/>
          <w:right w:w="86" w:type="dxa"/>
        </w:tblCellMar>
        <w:tblLook w:firstRow="0" w:noVBand="0" w:lastRow="0" w:firstColumn="0" w:lastColumn="0" w:noHBand="0" w:val="0000"/>
      </w:tblPr>
      <w:tblGrid>
        <w:gridCol w:w="9815"/>
      </w:tblGrid>
      <w:tr>
        <w:trPr>
          <w:trHeight w:val="345" w:hRule="atLeast"/>
        </w:trPr>
        <w:tc>
          <w:tcPr>
            <w:tcW w:w="9815" w:type="dxa"/>
            <w:tcBorders>
              <w:top w:val="single" w:sz="2" w:space="0" w:color="00000A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CFE7F5" w:val="clear"/>
            <w:tcMar>
              <w:left w:w="16" w:type="dxa"/>
            </w:tcMar>
            <w:vAlign w:val="center"/>
          </w:tcPr>
          <w:p>
            <w:pPr>
              <w:pStyle w:val="Titre2"/>
              <w:spacing w:before="60" w:after="60"/>
              <w:rPr/>
            </w:pPr>
            <w:r>
              <w:rPr>
                <w:b/>
                <w:caps/>
                <w:color w:val="000000" w:themeColor="text1"/>
                <w:sz w:val="20"/>
                <w:szCs w:val="16"/>
                <w:lang w:val="fr-FR"/>
              </w:rPr>
              <w:t>Piste de travail envisagées</w:t>
            </w:r>
          </w:p>
        </w:tc>
      </w:tr>
      <w:tr>
        <w:trPr>
          <w:trHeight w:val="360" w:hRule="atLeast"/>
        </w:trPr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6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both"/>
              <w:rPr/>
            </w:pPr>
            <w:r>
              <w:rPr>
                <w:rFonts w:cs="Tahoma"/>
                <w:b w:val="false"/>
                <w:bCs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– </w:t>
            </w:r>
            <w:r>
              <w:rPr>
                <w:rFonts w:cs="Tahoma"/>
                <w:b w:val="false"/>
                <w:bCs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Facilitation de la mise en réseau des acteurs Natura 2000 du grand Est : Élargissement de l’outil « yahoo groupe » de l’ex Champagne-Ardenne à l’ensemble de la grande région ;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rPr>
                <w:rFonts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cs="Tahoma"/>
                <w:b w:val="false"/>
                <w:bCs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rPr>
                <w:color w:themeColor="text1"/>
              </w:rPr>
            </w:pPr>
            <w:r>
              <w:rPr>
                <w:rFonts w:cs="Tahoma"/>
                <w:b w:val="false"/>
                <w:bCs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– </w:t>
            </w:r>
            <w:r>
              <w:rPr>
                <w:rFonts w:cs="Tahoma"/>
                <w:b w:val="false"/>
                <w:bCs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Mise en place d’un kit de communication pour les nouveaux animateurs Natura 2000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rPr>
                <w:rFonts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pPr>
            <w:r>
              <w:rPr>
                <w:rFonts w:cs="Tahoma"/>
                <w:b w:val="false"/>
                <w:bCs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rPr>
                <w:color w:themeColor="text1"/>
              </w:rPr>
            </w:pPr>
            <w:r>
              <w:rPr>
                <w:rFonts w:cs="Tahoma"/>
                <w:b w:val="false"/>
                <w:bCs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u w:val="none"/>
                <w:lang w:val="fr-FR" w:eastAsia="en-US" w:bidi="ne-IN"/>
              </w:rPr>
              <w:t>- Mise en place / réutilisation d’un kit d’exposition régional (kakémono)</w:t>
            </w:r>
          </w:p>
          <w:p>
            <w:pPr>
              <w:pStyle w:val="Normal"/>
              <w:numPr>
                <w:ilvl w:val="0"/>
                <w:numId w:val="0"/>
              </w:numPr>
              <w:jc w:val="both"/>
              <w:rPr>
                <w:rFonts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highlight w:val="yellow"/>
                <w:u w:val="none"/>
                <w:lang w:val="fr-FR" w:eastAsia="en-US" w:bidi="ne-IN"/>
              </w:rPr>
            </w:pPr>
            <w:r>
              <w:rPr>
                <w:rFonts w:cs="Tahoma"/>
                <w:b w:val="false"/>
                <w:bCs w:val="false"/>
                <w:i w:val="false"/>
                <w:iCs w:val="false"/>
                <w:color w:val="000000" w:themeColor="text1"/>
                <w:spacing w:val="4"/>
                <w:sz w:val="20"/>
                <w:szCs w:val="20"/>
                <w:highlight w:val="yellow"/>
                <w:u w:val="none"/>
                <w:lang w:val="fr-FR" w:eastAsia="en-US" w:bidi="ne-IN"/>
              </w:rPr>
            </w:r>
          </w:p>
        </w:tc>
      </w:tr>
      <w:tr>
        <w:trPr>
          <w:trHeight w:val="360" w:hRule="atLeast"/>
        </w:trPr>
        <w:tc>
          <w:tcPr>
            <w:tcW w:w="9815" w:type="dxa"/>
            <w:tcBorders>
              <w:top w:val="single" w:sz="12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CFE7F5" w:val="clear"/>
            <w:tcMar>
              <w:left w:w="16" w:type="dxa"/>
            </w:tcMar>
            <w:vAlign w:val="center"/>
          </w:tcPr>
          <w:p>
            <w:pPr>
              <w:pStyle w:val="Normal"/>
              <w:spacing w:before="60" w:after="60"/>
              <w:rPr>
                <w:b/>
                <w:b/>
                <w:caps/>
                <w:color w:val="000000" w:themeColor="text1"/>
                <w:sz w:val="20"/>
                <w:lang w:val="fr-FR"/>
              </w:rPr>
            </w:pPr>
            <w:r>
              <w:rPr>
                <w:b/>
                <w:caps/>
                <w:color w:val="000000" w:themeColor="text1"/>
                <w:sz w:val="20"/>
                <w:lang w:val="fr-FR"/>
              </w:rPr>
              <w:t>Annexes</w:t>
            </w:r>
          </w:p>
        </w:tc>
      </w:tr>
      <w:tr>
        <w:trPr>
          <w:trHeight w:val="628" w:hRule="atLeast"/>
        </w:trPr>
        <w:tc>
          <w:tcPr>
            <w:tcW w:w="9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themeFill="background1" w:val="clear"/>
            <w:tcMar>
              <w:left w:w="16" w:type="dxa"/>
            </w:tcMar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spacing w:before="60" w:after="60"/>
              <w:ind w:left="720" w:hanging="0"/>
              <w:contextualSpacing/>
              <w:rPr/>
            </w:pPr>
            <w:r>
              <w:rPr>
                <w:rFonts w:eastAsia="Times New Roman" w:cs="Tahoma" w:ascii="Calibri" w:hAnsi="Calibri"/>
                <w:b w:val="false"/>
                <w:bCs w:val="false"/>
                <w:i/>
                <w:iCs/>
                <w:color w:val="000000" w:themeColor="text1"/>
                <w:spacing w:val="4"/>
                <w:sz w:val="20"/>
                <w:szCs w:val="20"/>
                <w:highlight w:val="white"/>
                <w:u w:val="none"/>
                <w:lang w:val="fr-FR" w:eastAsia="en-US" w:bidi="ne-IN"/>
              </w:rPr>
              <w:t>– </w:t>
            </w:r>
            <w:r>
              <w:rPr>
                <w:rFonts w:eastAsia="Times New Roman" w:cs="Tahoma" w:ascii="Calibri" w:hAnsi="Calibri"/>
                <w:b w:val="false"/>
                <w:bCs w:val="false"/>
                <w:i/>
                <w:iCs/>
                <w:color w:val="000000" w:themeColor="text1"/>
                <w:spacing w:val="4"/>
                <w:sz w:val="20"/>
                <w:szCs w:val="20"/>
                <w:highlight w:val="white"/>
                <w:u w:val="none"/>
                <w:lang w:val="fr-FR" w:eastAsia="en-US" w:bidi="ne-IN"/>
              </w:rPr>
              <w:t xml:space="preserve">Présentation </w:t>
            </w:r>
            <w:r>
              <w:rPr>
                <w:rFonts w:eastAsia="Times New Roman" w:cs="Tahoma" w:ascii="Calibri" w:hAnsi="Calibri"/>
                <w:b w:val="false"/>
                <w:bCs w:val="false"/>
                <w:i/>
                <w:iCs/>
                <w:color w:val="000000" w:themeColor="text1"/>
                <w:spacing w:val="4"/>
                <w:sz w:val="20"/>
                <w:szCs w:val="20"/>
                <w:highlight w:val="white"/>
                <w:u w:val="none"/>
                <w:lang w:val="fr-FR" w:eastAsia="en-US" w:bidi="ne-IN"/>
              </w:rPr>
              <w:t xml:space="preserve">faite en séance </w:t>
            </w:r>
            <w:r>
              <w:rPr>
                <w:rFonts w:eastAsia="Times New Roman" w:cs="Tahoma" w:ascii="Calibri" w:hAnsi="Calibri"/>
                <w:b w:val="false"/>
                <w:bCs w:val="false"/>
                <w:i/>
                <w:iCs/>
                <w:color w:val="000000" w:themeColor="text1"/>
                <w:spacing w:val="4"/>
                <w:sz w:val="20"/>
                <w:szCs w:val="20"/>
                <w:highlight w:val="white"/>
                <w:u w:val="none"/>
                <w:lang w:val="fr-FR" w:eastAsia="en-US" w:bidi="ne-IN"/>
              </w:rPr>
              <w:t>des actions de communication du parc des Vosges du Nord, retour d’expérience</w:t>
            </w:r>
            <w:r>
              <w:rPr>
                <w:rFonts w:ascii="Calibri" w:hAnsi="Calibri"/>
                <w:i/>
                <w:iCs/>
                <w:color w:val="000000"/>
                <w:shd w:fill="FFFFFF" w:val="clear"/>
                <w:lang w:val="fr-FR"/>
              </w:rPr>
              <w:br/>
            </w:r>
          </w:p>
        </w:tc>
      </w:tr>
    </w:tbl>
    <w:p>
      <w:pPr>
        <w:pStyle w:val="Normal"/>
        <w:spacing w:before="60" w:after="60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</w:r>
    </w:p>
    <w:p>
      <w:pPr>
        <w:pStyle w:val="Normal"/>
        <w:numPr>
          <w:ilvl w:val="0"/>
          <w:numId w:val="0"/>
        </w:numPr>
        <w:spacing w:before="60" w:after="60"/>
        <w:jc w:val="right"/>
        <w:outlineLvl w:val="0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851" w:footer="720" w:bottom="1134" w:gutter="0"/>
      <w:pgNumType w:fmt="decimal"/>
      <w:formProt w:val="false"/>
      <w:textDirection w:val="lrTb"/>
      <w:docGrid w:type="default" w:linePitch="360" w:charSpace="1023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/>
    </w:pPr>
    <w:r>
      <w:rPr>
        <w:i/>
        <w:lang w:val="fr-FR"/>
      </w:rPr>
      <w:t xml:space="preserve">Page </w:t>
    </w:r>
    <w:r>
      <w:rPr>
        <w:i/>
        <w:lang w:val="fr-FR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i/>
        <w:lang w:val="fr-FR"/>
      </w:rPr>
      <w:t>/</w:t>
    </w:r>
    <w:r>
      <w:rPr>
        <w:i/>
        <w:lang w:val="fr-FR"/>
      </w:rPr>
      <w:fldChar w:fldCharType="begin"/>
    </w:r>
    <w:r>
      <w:instrText> NUMPAGES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ahoma" w:hAnsi="Tahoma" w:eastAsia="Times New Roman" w:cs="Tahoma"/>
      <w:color w:val="00000A"/>
      <w:spacing w:val="4"/>
      <w:sz w:val="16"/>
      <w:szCs w:val="16"/>
      <w:lang w:val="en-GB" w:eastAsia="en-US" w:bidi="ne-IN"/>
    </w:rPr>
  </w:style>
  <w:style w:type="paragraph" w:styleId="Titre1">
    <w:name w:val="Titre 1"/>
    <w:basedOn w:val="Normal"/>
    <w:next w:val="Normal"/>
    <w:qFormat/>
    <w:pPr>
      <w:outlineLvl w:val="0"/>
    </w:pPr>
    <w:rPr>
      <w:sz w:val="40"/>
      <w:szCs w:val="40"/>
    </w:rPr>
  </w:style>
  <w:style w:type="paragraph" w:styleId="Titre2">
    <w:name w:val="Titre 2"/>
    <w:basedOn w:val="Titre1"/>
    <w:next w:val="Normal"/>
    <w:qFormat/>
    <w:pPr>
      <w:outlineLvl w:val="1"/>
    </w:pPr>
    <w:rPr>
      <w:sz w:val="24"/>
      <w:szCs w:val="24"/>
    </w:rPr>
  </w:style>
  <w:style w:type="paragraph" w:styleId="Titre3">
    <w:name w:val="Titre 3"/>
    <w:basedOn w:val="Titre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itre4">
    <w:name w:val="Titre 4"/>
    <w:basedOn w:val="Normal"/>
    <w:next w:val="Normal"/>
    <w:qFormat/>
    <w:pPr>
      <w:outlineLvl w:val="3"/>
    </w:pPr>
    <w:rPr>
      <w:caps/>
    </w:rPr>
  </w:style>
  <w:style w:type="paragraph" w:styleId="Titre5">
    <w:name w:val="Titre 5"/>
    <w:basedOn w:val="Normal"/>
    <w:next w:val="Normal"/>
    <w:qFormat/>
    <w:pPr>
      <w:jc w:val="right"/>
      <w:outlineLvl w:val="4"/>
    </w:pPr>
    <w:rPr>
      <w: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qFormat/>
    <w:rsid w:val="00492797"/>
    <w:rPr>
      <w:rFonts w:ascii="Tahoma" w:hAnsi="Tahoma" w:cs="Tahoma"/>
      <w:spacing w:val="4"/>
      <w:sz w:val="16"/>
      <w:szCs w:val="14"/>
      <w:lang w:val="en-GB" w:eastAsia="en-US" w:bidi="ne-IN"/>
    </w:rPr>
  </w:style>
  <w:style w:type="character" w:styleId="PieddepageCar" w:customStyle="1">
    <w:name w:val="Pied de page Car"/>
    <w:basedOn w:val="DefaultParagraphFont"/>
    <w:link w:val="Pieddepage"/>
    <w:qFormat/>
    <w:rsid w:val="00492797"/>
    <w:rPr>
      <w:rFonts w:ascii="Tahoma" w:hAnsi="Tahoma" w:cs="Tahoma"/>
      <w:spacing w:val="4"/>
      <w:sz w:val="16"/>
      <w:szCs w:val="14"/>
      <w:lang w:val="en-GB" w:eastAsia="en-US" w:bidi="ne-IN"/>
    </w:rPr>
  </w:style>
  <w:style w:type="character" w:styleId="Annotationreference">
    <w:name w:val="annotation reference"/>
    <w:basedOn w:val="DefaultParagraphFont"/>
    <w:semiHidden/>
    <w:unhideWhenUsed/>
    <w:qFormat/>
    <w:rsid w:val="001a1167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semiHidden/>
    <w:qFormat/>
    <w:rsid w:val="001a1167"/>
    <w:rPr>
      <w:rFonts w:ascii="Tahoma" w:hAnsi="Tahoma" w:cs="Tahoma"/>
      <w:spacing w:val="4"/>
      <w:szCs w:val="18"/>
      <w:lang w:val="en-GB" w:eastAsia="en-US" w:bidi="ne-IN"/>
    </w:rPr>
  </w:style>
  <w:style w:type="character" w:styleId="ObjetducommentaireCar" w:customStyle="1">
    <w:name w:val="Objet du commentaire Car"/>
    <w:basedOn w:val="CommentaireCar"/>
    <w:link w:val="Objetducommentaire"/>
    <w:semiHidden/>
    <w:qFormat/>
    <w:rsid w:val="001a1167"/>
    <w:rPr>
      <w:rFonts w:ascii="Tahoma" w:hAnsi="Tahoma" w:cs="Tahoma"/>
      <w:b/>
      <w:bCs/>
      <w:spacing w:val="4"/>
      <w:szCs w:val="18"/>
      <w:lang w:val="en-GB" w:eastAsia="en-US" w:bidi="ne-IN"/>
    </w:rPr>
  </w:style>
  <w:style w:type="character" w:styleId="Appleconvertedspace" w:customStyle="1">
    <w:name w:val="apple-converted-space"/>
    <w:basedOn w:val="DefaultParagraphFont"/>
    <w:qFormat/>
    <w:rsid w:val="008e45f2"/>
    <w:rPr/>
  </w:style>
  <w:style w:type="character" w:styleId="LienInternet" w:customStyle="1">
    <w:name w:val="Lien Internet"/>
    <w:basedOn w:val="DefaultParagraphFont"/>
    <w:uiPriority w:val="99"/>
    <w:unhideWhenUsed/>
    <w:rsid w:val="008e45f2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qFormat/>
    <w:rsid w:val="00e262c0"/>
    <w:rPr>
      <w:color w:val="800080" w:themeColor="followedHyperlink"/>
      <w:u w:val="single"/>
    </w:rPr>
  </w:style>
  <w:style w:type="character" w:styleId="ListLabel1" w:customStyle="1">
    <w:name w:val="ListLabel 1"/>
    <w:qFormat/>
    <w:rPr>
      <w:sz w:val="16"/>
    </w:rPr>
  </w:style>
  <w:style w:type="character" w:styleId="ListLabel2" w:customStyle="1">
    <w:name w:val="ListLabel 2"/>
    <w:qFormat/>
    <w:rPr>
      <w:rFonts w:eastAsia="Times New Roman" w:cs="Arial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color w:val="00000A"/>
      <w:sz w:val="22"/>
      <w:szCs w:val="22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Tahoma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eastAsia="Times New Roman" w:cs="Tahoma"/>
      <w:sz w:val="18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Symbol"/>
      <w:sz w:val="18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Tahoma"/>
      <w:sz w:val="18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Wingdings"/>
      <w:sz w:val="18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ExplorateurdedocumentsCar" w:customStyle="1">
    <w:name w:val="Explorateur de documents Car"/>
    <w:basedOn w:val="DefaultParagraphFont"/>
    <w:link w:val="Explorateurdedocuments"/>
    <w:semiHidden/>
    <w:qFormat/>
    <w:rsid w:val="00944581"/>
    <w:rPr>
      <w:color w:val="00000A"/>
      <w:spacing w:val="4"/>
      <w:sz w:val="24"/>
      <w:szCs w:val="21"/>
      <w:lang w:val="en-GB" w:eastAsia="en-US" w:bidi="ne-IN"/>
    </w:rPr>
  </w:style>
  <w:style w:type="character" w:styleId="ListLabel65">
    <w:name w:val="ListLabel 65"/>
    <w:qFormat/>
    <w:rPr>
      <w:rFonts w:cs="Symbol"/>
      <w:sz w:val="18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Tahoma"/>
      <w:sz w:val="18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Wingdings"/>
      <w:sz w:val="18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Arial" w:hAnsi="Arial" w:eastAsia="Times New Roman" w:cs="Tahoma"/>
      <w:color w:val="000000"/>
      <w:sz w:val="20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Policepardfaut">
    <w:name w:val="Police par défaut"/>
    <w:qFormat/>
    <w:rPr/>
  </w:style>
  <w:style w:type="character" w:styleId="LienInternetvisit">
    <w:name w:val="Lien Internet visité"/>
    <w:basedOn w:val="Policepardfaut"/>
    <w:rPr>
      <w:color w:val="8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character" w:styleId="ListLabel96">
    <w:name w:val="ListLabel 96"/>
    <w:qFormat/>
    <w:rPr>
      <w:rFonts w:cs="Symbol"/>
      <w:sz w:val="18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Wingdings"/>
      <w:sz w:val="20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ascii="Tahoma" w:hAnsi="Tahoma" w:cs="Tahoma"/>
      <w:b/>
      <w:color w:val="000000"/>
      <w:sz w:val="20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ascii="Tahoma" w:hAnsi="Tahoma" w:cs="Symbol"/>
      <w:b/>
      <w:sz w:val="20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Tahoma" w:hAnsi="Tahoma" w:cs="Tahoma"/>
      <w:b/>
      <w:color w:val="000000"/>
      <w:sz w:val="20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ascii="Tahoma" w:hAnsi="Tahoma" w:cs="Symbol"/>
      <w:b/>
      <w:sz w:val="20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Wingdings"/>
      <w:sz w:val="20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ascii="Tahoma" w:hAnsi="Tahoma" w:cs="Tahoma"/>
      <w:b/>
      <w:color w:val="000000"/>
      <w:sz w:val="20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ascii="Tahoma" w:hAnsi="Tahoma" w:cs="Symbol"/>
      <w:b/>
      <w:sz w:val="20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Wingdings"/>
      <w:sz w:val="20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ascii="Tahoma" w:hAnsi="Tahoma" w:cs="Tahoma"/>
      <w:b/>
      <w:color w:val="000000"/>
      <w:sz w:val="20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ascii="Tahoma" w:hAnsi="Tahoma" w:cs="Symbol"/>
      <w:b/>
      <w:sz w:val="20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Symbol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Symbol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Wingdings"/>
      <w:sz w:val="20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ascii="Tahoma" w:hAnsi="Tahoma" w:cs="Tahoma"/>
      <w:b/>
      <w:color w:val="000000"/>
      <w:sz w:val="20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ascii="Tahoma" w:hAnsi="Tahoma" w:cs="Symbol"/>
      <w:b/>
      <w:sz w:val="20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Accentuation">
    <w:name w:val="Accentuation"/>
    <w:rPr>
      <w:i/>
      <w:iCs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ascii="Tahoma" w:hAnsi="Tahoma" w:cs="OpenSymbol"/>
      <w:b w:val="false"/>
      <w:sz w:val="20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ascii="Tahoma" w:hAnsi="Tahoma" w:cs="OpenSymbol"/>
      <w:b w:val="false"/>
      <w:sz w:val="20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  <w:b w:val="false"/>
      <w:sz w:val="20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  <w:b w:val="false"/>
      <w:sz w:val="20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  <w:b w:val="false"/>
      <w:sz w:val="20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ascii="Tahoma" w:hAnsi="Tahoma" w:cs="OpenSymbol"/>
      <w:b w:val="false"/>
      <w:sz w:val="20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ascii="Tahoma" w:hAnsi="Tahoma" w:cs="OpenSymbol"/>
      <w:b w:val="false"/>
      <w:sz w:val="20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ascii="Tahoma" w:hAnsi="Tahoma" w:cs="OpenSymbol"/>
      <w:b w:val="false"/>
      <w:sz w:val="20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ascii="Tahoma" w:hAnsi="Tahoma" w:cs="OpenSymbol"/>
      <w:b w:val="false"/>
      <w:sz w:val="20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ascii="Tahoma" w:hAnsi="Tahoma" w:cs="OpenSymbol"/>
      <w:b w:val="false"/>
      <w:sz w:val="20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re principal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semiHidden/>
    <w:qFormat/>
    <w:pPr/>
    <w:rPr>
      <w:rFonts w:cs="Times New Roman"/>
    </w:rPr>
  </w:style>
  <w:style w:type="paragraph" w:styleId="AllCapsHeading" w:customStyle="1">
    <w:name w:val="All Caps Heading"/>
    <w:basedOn w:val="Normal"/>
    <w:qFormat/>
    <w:pPr/>
    <w:rPr>
      <w:b/>
      <w:caps/>
      <w:color w:val="808080"/>
      <w:sz w:val="14"/>
      <w:szCs w:val="14"/>
      <w:lang w:val="en-US" w:bidi="en-US"/>
    </w:rPr>
  </w:style>
  <w:style w:type="paragraph" w:styleId="ListParagraph">
    <w:name w:val="List Paragraph"/>
    <w:basedOn w:val="Normal"/>
    <w:uiPriority w:val="34"/>
    <w:qFormat/>
    <w:rsid w:val="00621f77"/>
    <w:pPr>
      <w:spacing w:before="0" w:after="0"/>
      <w:ind w:left="720" w:hanging="0"/>
      <w:contextualSpacing/>
    </w:pPr>
    <w:rPr>
      <w:szCs w:val="14"/>
    </w:rPr>
  </w:style>
  <w:style w:type="paragraph" w:styleId="Entte">
    <w:name w:val="En-tête"/>
    <w:basedOn w:val="Normal"/>
    <w:rsid w:val="00492797"/>
    <w:pPr>
      <w:tabs>
        <w:tab w:val="center" w:pos="4536" w:leader="none"/>
        <w:tab w:val="right" w:pos="9072" w:leader="none"/>
      </w:tabs>
    </w:pPr>
    <w:rPr>
      <w:szCs w:val="14"/>
    </w:rPr>
  </w:style>
  <w:style w:type="paragraph" w:styleId="Pieddepage">
    <w:name w:val="Pied de page"/>
    <w:basedOn w:val="Normal"/>
    <w:link w:val="PieddepageCar"/>
    <w:rsid w:val="00492797"/>
    <w:pPr>
      <w:tabs>
        <w:tab w:val="center" w:pos="4536" w:leader="none"/>
        <w:tab w:val="right" w:pos="9072" w:leader="none"/>
      </w:tabs>
    </w:pPr>
    <w:rPr>
      <w:szCs w:val="14"/>
    </w:rPr>
  </w:style>
  <w:style w:type="paragraph" w:styleId="Annotationtext">
    <w:name w:val="annotation text"/>
    <w:basedOn w:val="Normal"/>
    <w:link w:val="CommentaireCar"/>
    <w:semiHidden/>
    <w:unhideWhenUsed/>
    <w:qFormat/>
    <w:rsid w:val="001a1167"/>
    <w:pPr/>
    <w:rPr>
      <w:sz w:val="20"/>
      <w:szCs w:val="18"/>
    </w:rPr>
  </w:style>
  <w:style w:type="paragraph" w:styleId="Annotationsubject">
    <w:name w:val="annotation subject"/>
    <w:basedOn w:val="Annotationtext"/>
    <w:link w:val="ObjetducommentaireCar"/>
    <w:semiHidden/>
    <w:unhideWhenUsed/>
    <w:qFormat/>
    <w:rsid w:val="001a1167"/>
    <w:pPr/>
    <w:rPr>
      <w:b/>
      <w:bCs/>
    </w:rPr>
  </w:style>
  <w:style w:type="paragraph" w:styleId="DocumentMap">
    <w:name w:val="Document Map"/>
    <w:basedOn w:val="Normal"/>
    <w:link w:val="ExplorateurdedocumentsCar"/>
    <w:semiHidden/>
    <w:unhideWhenUsed/>
    <w:qFormat/>
    <w:rsid w:val="00944581"/>
    <w:pPr/>
    <w:rPr>
      <w:rFonts w:ascii="Times New Roman" w:hAnsi="Times New Roman" w:cs="Times New Roman"/>
      <w:sz w:val="24"/>
      <w:szCs w:val="21"/>
    </w:rPr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BC19-D461-4E27-9CB8-5CDC0CC0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Application>LibreOffice/5.0.6.3.0$Windows_x86 LibreOffice_project/fe46e5b82646505d0acf84e14cef05527e401d3b</Application>
  <Paragraphs>156</Paragraphs>
  <Company>Microsoft Corporation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2017-11-17T10:25:00Z</dcterms:created>
  <dc:creator>Gereco (ML)</dc:creator>
  <dc:language>fr-FR</dc:language>
  <cp:lastPrinted>2017-11-17T14:15:25Z</cp:lastPrinted>
  <dcterms:modified xsi:type="dcterms:W3CDTF">2017-12-21T15:12:43Z</dcterms:modified>
  <cp:revision>42</cp:revision>
  <dc:title>Titre de la réunion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CID">
    <vt:lpwstr>1033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